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44.png" ContentType="image/png"/>
  <Override PartName="/word/media/rId45.png" ContentType="image/png"/>
  <Override PartName="/word/media/rId41.png" ContentType="image/png"/>
  <Override PartName="/word/media/rId52.png" ContentType="image/png"/>
  <Override PartName="/word/media/rId42.png" ContentType="image/png"/>
  <Override PartName="/word/media/rId47.png" ContentType="image/png"/>
  <Override PartName="/word/media/rId48.png" ContentType="image/png"/>
  <Override PartName="/word/media/rId40.png" ContentType="image/png"/>
  <Override PartName="/word/media/rId36.png" ContentType="image/png"/>
  <Override PartName="/word/media/rId37.png" ContentType="image/png"/>
  <Override PartName="/word/media/rId54.png" ContentType="image/png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Effects</w:t>
      </w:r>
      <w:r>
        <w:t xml:space="preserve"> </w:t>
      </w:r>
      <w:r>
        <w:t xml:space="preserve">of</w:t>
      </w:r>
      <w:r>
        <w:t xml:space="preserve"> </w:t>
      </w:r>
      <w:r>
        <w:t xml:space="preserve">different</w:t>
      </w:r>
      <w:r>
        <w:t xml:space="preserve"> </w:t>
      </w:r>
      <w:r>
        <w:t xml:space="preserve">storage</w:t>
      </w:r>
      <w:r>
        <w:t xml:space="preserve"> </w:t>
      </w:r>
      <w:r>
        <w:t xml:space="preserve">conditions</w:t>
      </w:r>
      <w:r>
        <w:t xml:space="preserve"> </w:t>
      </w:r>
      <w:r>
        <w:t xml:space="preserve">on</w:t>
      </w:r>
      <w:r>
        <w:t xml:space="preserve"> </w:t>
      </w:r>
      <w:r>
        <w:t xml:space="preserve">the</w:t>
      </w:r>
      <w:r>
        <w:t xml:space="preserve"> </w:t>
      </w:r>
      <w:r>
        <w:t xml:space="preserve">development</w:t>
      </w:r>
      <w:r>
        <w:t xml:space="preserve"> </w:t>
      </w:r>
      <w:r>
        <w:t xml:space="preserve">of</w:t>
      </w:r>
      <w:r>
        <w:t xml:space="preserve"> </w:t>
      </w:r>
      <w:r>
        <w:t xml:space="preserve">microorganisms</w:t>
      </w:r>
      <w:r>
        <w:t xml:space="preserve"> </w:t>
      </w:r>
      <w:r>
        <w:t xml:space="preserve">in</w:t>
      </w:r>
      <w:r>
        <w:t xml:space="preserve"> </w:t>
      </w:r>
      <w:r>
        <w:t xml:space="preserve">ground</w:t>
      </w:r>
      <w:r>
        <w:t xml:space="preserve"> </w:t>
      </w:r>
      <w:r>
        <w:t xml:space="preserve">beef</w:t>
      </w:r>
    </w:p>
    <w:p>
      <w:pPr>
        <w:pStyle w:val="Author"/>
      </w:pPr>
      <w:r>
        <w:t xml:space="preserve">Kris</w:t>
      </w:r>
      <w:r>
        <w:t xml:space="preserve"> </w:t>
      </w:r>
      <w:r>
        <w:t xml:space="preserve">Choi</w:t>
      </w:r>
    </w:p>
    <w:p>
      <w:pPr>
        <w:pStyle w:val="Date"/>
      </w:pPr>
      <w:r>
        <w:t xml:space="preserve">November</w:t>
      </w:r>
      <w:r>
        <w:t xml:space="preserve"> </w:t>
      </w:r>
      <w:r>
        <w:t xml:space="preserve">19,</w:t>
      </w:r>
      <w:r>
        <w:t xml:space="preserve"> </w:t>
      </w:r>
      <w:r>
        <w:t xml:space="preserve">2019</w:t>
      </w:r>
    </w:p>
    <w:p>
      <w:pPr>
        <w:pStyle w:val="Heading1"/>
      </w:pPr>
      <w:bookmarkStart w:id="20" w:name="introduction"/>
      <w:r>
        <w:t xml:space="preserve">Introduction</w:t>
      </w:r>
      <w:bookmarkEnd w:id="20"/>
    </w:p>
    <w:p>
      <w:pPr>
        <w:pStyle w:val="FirstParagraph"/>
      </w:pPr>
      <w:r>
        <w:t xml:space="preserve">My primary question was to investigate microbial communities developed in</w:t>
      </w:r>
      <w:r>
        <w:t xml:space="preserve"> </w:t>
      </w:r>
      <w:r>
        <w:t xml:space="preserve">ground beef under different storage conditions. I proposed a hypothesis</w:t>
      </w:r>
      <w:r>
        <w:t xml:space="preserve"> </w:t>
      </w:r>
      <w:r>
        <w:t xml:space="preserve">that more diverse microbial communities would be developed if the meat was</w:t>
      </w:r>
      <w:r>
        <w:t xml:space="preserve"> </w:t>
      </w:r>
      <w:r>
        <w:t xml:space="preserve">stored at room temperature in comparison to the ones kept in a refrigerator</w:t>
      </w:r>
      <w:r>
        <w:t xml:space="preserve"> </w:t>
      </w:r>
      <w:r>
        <w:t xml:space="preserve">as low temperature storage is an essential method to prevent or slow</w:t>
      </w:r>
      <w:r>
        <w:t xml:space="preserve"> </w:t>
      </w:r>
      <w:r>
        <w:t xml:space="preserve">microbial growth</w:t>
      </w:r>
      <w:r>
        <w:t xml:space="preserve"> </w:t>
      </w:r>
      <w:r>
        <w:t xml:space="preserve">(Dave and Ghaly, 2011)</w:t>
      </w:r>
      <w:r>
        <w:t xml:space="preserve">. I designed my study to compare 3 different</w:t>
      </w:r>
      <w:r>
        <w:t xml:space="preserve"> </w:t>
      </w:r>
      <w:r>
        <w:t xml:space="preserve">ground beef brands in either cooled environment or room temperature.</w:t>
      </w:r>
      <w:r>
        <w:t xml:space="preserve"> </w:t>
      </w:r>
      <w:r>
        <w:t xml:space="preserve">The samples stored in a refrigerator provided distinct colonies for</w:t>
      </w:r>
      <w:r>
        <w:t xml:space="preserve"> </w:t>
      </w:r>
      <w:r>
        <w:t xml:space="preserve">extraction while all the samples stored in room temperature resulted in</w:t>
      </w:r>
      <w:r>
        <w:t xml:space="preserve"> </w:t>
      </w:r>
      <w:r>
        <w:t xml:space="preserve">bacterial lawn. The bacterial lawn prevented DNA extraction process and</w:t>
      </w:r>
      <w:r>
        <w:t xml:space="preserve"> </w:t>
      </w:r>
      <w:r>
        <w:t xml:space="preserve">thus led to skewed results only from the refrigerated samples.</w:t>
      </w:r>
    </w:p>
    <w:p>
      <w:pPr>
        <w:pStyle w:val="Heading1"/>
      </w:pPr>
      <w:bookmarkStart w:id="21" w:name="methods"/>
      <w:r>
        <w:t xml:space="preserve">Methods</w:t>
      </w:r>
      <w:bookmarkEnd w:id="21"/>
    </w:p>
    <w:p>
      <w:pPr>
        <w:pStyle w:val="Heading2"/>
      </w:pPr>
      <w:bookmarkStart w:id="22" w:name="study-design"/>
      <w:r>
        <w:t xml:space="preserve">Study design</w:t>
      </w:r>
      <w:bookmarkEnd w:id="22"/>
    </w:p>
    <w:p>
      <w:pPr>
        <w:pStyle w:val="FirstParagraph"/>
      </w:pPr>
      <w:r>
        <w:t xml:space="preserve">The model of the experiment was ground beef and they were replicated by</w:t>
      </w:r>
      <w:r>
        <w:t xml:space="preserve"> </w:t>
      </w:r>
      <w:r>
        <w:t xml:space="preserve">purchasing 3 different brands: Teva kosher foods from Trader Joe’s, Lucky</w:t>
      </w:r>
      <w:r>
        <w:t xml:space="preserve"> </w:t>
      </w:r>
      <w:r>
        <w:t xml:space="preserve">California from Lucky Supermarkets, and Butcher shop from Trader Joe’s.</w:t>
      </w:r>
      <w:r>
        <w:t xml:space="preserve"> </w:t>
      </w:r>
      <w:r>
        <w:t xml:space="preserve">The first treatment group remained refrigerated while the second treatment</w:t>
      </w:r>
      <w:r>
        <w:t xml:space="preserve"> </w:t>
      </w:r>
      <w:r>
        <w:t xml:space="preserve">group was stored at room temperature. For both treatment groups, they were</w:t>
      </w:r>
      <w:r>
        <w:t xml:space="preserve"> </w:t>
      </w:r>
      <w:r>
        <w:t xml:space="preserve">stored for 80 hours before subsampled.</w:t>
      </w:r>
    </w:p>
    <w:p>
      <w:pPr>
        <w:pStyle w:val="Heading2"/>
      </w:pPr>
      <w:bookmarkStart w:id="23" w:name="subsampling"/>
      <w:r>
        <w:t xml:space="preserve">Subsampling</w:t>
      </w:r>
      <w:bookmarkEnd w:id="23"/>
    </w:p>
    <w:p>
      <w:pPr>
        <w:pStyle w:val="FirstParagraph"/>
      </w:pPr>
      <w:r>
        <w:t xml:space="preserve">I dipped a sterile cotton swab in PBS buffer first and swabbed each sample</w:t>
      </w:r>
      <w:r>
        <w:t xml:space="preserve"> </w:t>
      </w:r>
      <w:r>
        <w:t xml:space="preserve">on the surface for at least 10 seconds. Then, I broke off the tip of the</w:t>
      </w:r>
      <w:r>
        <w:t xml:space="preserve"> </w:t>
      </w:r>
      <w:r>
        <w:t xml:space="preserve">cotton swab into the labeled tube and closed the cap. To conduct</w:t>
      </w:r>
      <w:r>
        <w:t xml:space="preserve"> </w:t>
      </w:r>
      <w:r>
        <w:t xml:space="preserve">culturing and culture-free experiment for each sample in later steps,</w:t>
      </w:r>
      <w:r>
        <w:t xml:space="preserve"> </w:t>
      </w:r>
      <w:r>
        <w:t xml:space="preserve">I collected total of 18 samples (n = 3 per group, 6 total).</w:t>
      </w:r>
    </w:p>
    <w:p>
      <w:pPr>
        <w:pStyle w:val="Heading2"/>
      </w:pPr>
      <w:bookmarkStart w:id="24" w:name="a.-process-of-cultured-samples"/>
      <w:r>
        <w:t xml:space="preserve">A. Process of cultured samples</w:t>
      </w:r>
      <w:bookmarkEnd w:id="24"/>
    </w:p>
    <w:p>
      <w:pPr>
        <w:pStyle w:val="Heading3"/>
      </w:pPr>
      <w:bookmarkStart w:id="25" w:name="dilution-and-microbial-culture"/>
      <w:r>
        <w:t xml:space="preserve">1:10/1:100 Dilution and Microbial Culture</w:t>
      </w:r>
      <w:bookmarkEnd w:id="25"/>
    </w:p>
    <w:p>
      <w:pPr>
        <w:pStyle w:val="FirstParagraph"/>
      </w:pPr>
      <w:r>
        <w:t xml:space="preserve">I prepared 3 dilutions for each sample: the original stock, 1:10, and 1:100</w:t>
      </w:r>
      <w:r>
        <w:t xml:space="preserve"> </w:t>
      </w:r>
      <w:r>
        <w:t xml:space="preserve">using PBS buffer (total volume of 200µL each). For culturing process,</w:t>
      </w:r>
      <w:r>
        <w:t xml:space="preserve"> </w:t>
      </w:r>
      <w:r>
        <w:t xml:space="preserve">I transferred 100µL of each diluted sample to 100mm TSA plate and spread</w:t>
      </w:r>
      <w:r>
        <w:t xml:space="preserve"> </w:t>
      </w:r>
      <w:r>
        <w:t xml:space="preserve">the solution with the beads for 10 seconds. The petri dishes were stored</w:t>
      </w:r>
      <w:r>
        <w:t xml:space="preserve"> </w:t>
      </w:r>
      <w:r>
        <w:t xml:space="preserve">in incubator for growth of microbes.</w:t>
      </w:r>
    </w:p>
    <w:p>
      <w:pPr>
        <w:pStyle w:val="Heading3"/>
      </w:pPr>
      <w:bookmarkStart w:id="26" w:name="dna-extraction-and-quantification-of-dna-concentration"/>
      <w:r>
        <w:t xml:space="preserve">DNA Extraction and Quantification of DNA concentration</w:t>
      </w:r>
      <w:bookmarkEnd w:id="26"/>
    </w:p>
    <w:p>
      <w:pPr>
        <w:pStyle w:val="FirstParagraph"/>
      </w:pPr>
      <w:r>
        <w:t xml:space="preserve">I chose 6 different bacterial morphotypes across the cultured sample and</w:t>
      </w:r>
      <w:r>
        <w:t xml:space="preserve"> </w:t>
      </w:r>
      <w:r>
        <w:t xml:space="preserve">added the cell from colony to a tube using a sterile pipette tip.</w:t>
      </w:r>
      <w:r>
        <w:t xml:space="preserve"> </w:t>
      </w:r>
      <w:r>
        <w:t xml:space="preserve">I performed DNA extraction by following the manufacturer’s protocol from</w:t>
      </w:r>
      <w:r>
        <w:t xml:space="preserve"> </w:t>
      </w:r>
      <w:r>
        <w:t xml:space="preserve">the Sigma REDExtract-N-Amp kit. After the extraction, I measured DNA</w:t>
      </w:r>
      <w:r>
        <w:t xml:space="preserve"> </w:t>
      </w:r>
      <w:r>
        <w:t xml:space="preserve">concentration using Qubit Fluorometer.</w:t>
      </w:r>
    </w:p>
    <w:p>
      <w:pPr>
        <w:pStyle w:val="Heading3"/>
      </w:pPr>
      <w:bookmarkStart w:id="27" w:name="touchdown-pcr"/>
      <w:r>
        <w:t xml:space="preserve">Touchdown PCR</w:t>
      </w:r>
      <w:bookmarkEnd w:id="27"/>
    </w:p>
    <w:p>
      <w:pPr>
        <w:pStyle w:val="FirstParagraph"/>
      </w:pPr>
      <w:r>
        <w:t xml:space="preserve">I prepared the master mix for PCR using following ingredients:</w:t>
      </w:r>
      <w:r>
        <w:t xml:space="preserve"> </w:t>
      </w:r>
      <w:r>
        <w:t xml:space="preserve">Amp reagent, 27f primer, 1492r primer, BSA, and water. After aliquoting</w:t>
      </w:r>
      <w:r>
        <w:t xml:space="preserve"> </w:t>
      </w:r>
      <w:r>
        <w:t xml:space="preserve">the master mix and adding DNA to each tube, PCR started with denaturing</w:t>
      </w:r>
      <w:r>
        <w:t xml:space="preserve"> </w:t>
      </w:r>
      <w:r>
        <w:t xml:space="preserve">at 95⁰C for 5 minutes, another denaturing at 94⁰C for 30 seconds, annealing</w:t>
      </w:r>
      <w:r>
        <w:t xml:space="preserve"> </w:t>
      </w:r>
      <w:r>
        <w:t xml:space="preserve">at 65⁰C for 30 seconds, and extending at 72⁰C for 1 minute. The temperature</w:t>
      </w:r>
      <w:r>
        <w:t xml:space="preserve"> </w:t>
      </w:r>
      <w:r>
        <w:t xml:space="preserve">for annealing stepped down 1⁰C per cycle and the second denaturing,</w:t>
      </w:r>
      <w:r>
        <w:t xml:space="preserve"> </w:t>
      </w:r>
      <w:r>
        <w:t xml:space="preserve">annealing,and extending steps were repeated for 10 cycles. Subsequently,</w:t>
      </w:r>
      <w:r>
        <w:t xml:space="preserve"> </w:t>
      </w:r>
      <w:r>
        <w:t xml:space="preserve">additional 25 cycles were started at 94⁰C for 30 seconds, 55⁰C for</w:t>
      </w:r>
      <w:r>
        <w:t xml:space="preserve"> </w:t>
      </w:r>
      <w:r>
        <w:t xml:space="preserve">30 seconds, and 72⁰C for 1 minute. The cycle stayed at 72⁰C for 10 minutes</w:t>
      </w:r>
      <w:r>
        <w:t xml:space="preserve"> </w:t>
      </w:r>
      <w:r>
        <w:t xml:space="preserve">and went down to 4⁰C for hold.</w:t>
      </w:r>
    </w:p>
    <w:p>
      <w:pPr>
        <w:pStyle w:val="Heading3"/>
      </w:pPr>
      <w:bookmarkStart w:id="28" w:name="gel-electrophoresis-and-pcr-cleanups"/>
      <w:r>
        <w:t xml:space="preserve">Gel Electrophoresis and PCR cleanups</w:t>
      </w:r>
      <w:bookmarkEnd w:id="28"/>
    </w:p>
    <w:p>
      <w:pPr>
        <w:pStyle w:val="FirstParagraph"/>
      </w:pPr>
      <w:r>
        <w:t xml:space="preserve">I loaded 6 PCR products and a negative control for 4µL each on 2% agarose gel</w:t>
      </w:r>
      <w:r>
        <w:t xml:space="preserve"> </w:t>
      </w:r>
      <w:r>
        <w:t xml:space="preserve">containing SYBR safe dye and ran the electrophoresis at 140V for</w:t>
      </w:r>
      <w:r>
        <w:t xml:space="preserve"> </w:t>
      </w:r>
      <w:r>
        <w:t xml:space="preserve">30 minutes. After inspecting the fluorescent bands under UV light,</w:t>
      </w:r>
      <w:r>
        <w:t xml:space="preserve"> </w:t>
      </w:r>
      <w:r>
        <w:t xml:space="preserve">PCR cleanups were performed using Invitrogen Exo-SAP and sent for</w:t>
      </w:r>
      <w:r>
        <w:t xml:space="preserve"> </w:t>
      </w:r>
      <w:r>
        <w:t xml:space="preserve">unidirectional Sanger sequencing using 27f primer at MCLAB in</w:t>
      </w:r>
      <w:r>
        <w:t xml:space="preserve"> </w:t>
      </w:r>
      <w:r>
        <w:t xml:space="preserve">South San Francisco, CA.</w:t>
      </w:r>
    </w:p>
    <w:p>
      <w:pPr>
        <w:pStyle w:val="Heading3"/>
      </w:pPr>
      <w:bookmarkStart w:id="29" w:name="sanger-sequencing-and-analysis"/>
      <w:r>
        <w:t xml:space="preserve">Sanger sequencing and Analysis</w:t>
      </w:r>
      <w:bookmarkEnd w:id="29"/>
    </w:p>
    <w:p>
      <w:pPr>
        <w:pStyle w:val="FirstParagraph"/>
      </w:pPr>
      <w:r>
        <w:t xml:space="preserve">I used the software called Geneious Prime to analyze the integrity of the</w:t>
      </w:r>
      <w:r>
        <w:t xml:space="preserve"> </w:t>
      </w:r>
      <w:r>
        <w:t xml:space="preserve">Sanger sequencing data delivered from MCLAB. After reviewing the quality</w:t>
      </w:r>
      <w:r>
        <w:t xml:space="preserve"> </w:t>
      </w:r>
      <w:r>
        <w:t xml:space="preserve">of the samples, I determined 3 usable raw sequences with long stretches of</w:t>
      </w:r>
      <w:r>
        <w:t xml:space="preserve"> </w:t>
      </w:r>
      <w:r>
        <w:t xml:space="preserve">high-quality reads. I trimmed the sequences by removing poor quality reads</w:t>
      </w:r>
      <w:r>
        <w:t xml:space="preserve"> </w:t>
      </w:r>
      <w:r>
        <w:t xml:space="preserve">near the primer site and at the end and manually adjusting bases with IUPAC</w:t>
      </w:r>
      <w:r>
        <w:t xml:space="preserve"> </w:t>
      </w:r>
      <w:r>
        <w:t xml:space="preserve">ambiguity codes. After cleaning the sequences, I aligned the trimmed</w:t>
      </w:r>
      <w:r>
        <w:t xml:space="preserve"> </w:t>
      </w:r>
      <w:r>
        <w:t xml:space="preserve">sequences along with</w:t>
      </w:r>
      <w:r>
        <w:t xml:space="preserve"> </w:t>
      </w:r>
      <w:r>
        <w:rPr>
          <w:i/>
        </w:rPr>
        <w:t xml:space="preserve">Thermus aquaticus</w:t>
      </w:r>
      <w:r>
        <w:t xml:space="preserve"> </w:t>
      </w:r>
      <w:r>
        <w:t xml:space="preserve">as an outgroup. In addition,</w:t>
      </w:r>
      <w:r>
        <w:t xml:space="preserve"> </w:t>
      </w:r>
      <w:r>
        <w:t xml:space="preserve">I used two phylogeny programs, PhyML and MrBayes, within Geneious Prime to</w:t>
      </w:r>
      <w:r>
        <w:t xml:space="preserve"> </w:t>
      </w:r>
      <w:r>
        <w:t xml:space="preserve">construct phylogenetic trees of the aligned sequences. Lastly, I loaded the</w:t>
      </w:r>
      <w:r>
        <w:t xml:space="preserve"> </w:t>
      </w:r>
      <w:r>
        <w:t xml:space="preserve">3 cleaned sequences and 1 failed sequence into BLAST to identify its gene</w:t>
      </w:r>
      <w:r>
        <w:t xml:space="preserve"> </w:t>
      </w:r>
      <w:r>
        <w:t xml:space="preserve">families.</w:t>
      </w:r>
    </w:p>
    <w:p>
      <w:pPr>
        <w:pStyle w:val="Heading2"/>
      </w:pPr>
      <w:bookmarkStart w:id="30" w:name="b.-process-of-culture-free-samples"/>
      <w:r>
        <w:t xml:space="preserve">B. Process of culture-free samples</w:t>
      </w:r>
      <w:bookmarkEnd w:id="30"/>
    </w:p>
    <w:p>
      <w:pPr>
        <w:pStyle w:val="Heading3"/>
      </w:pPr>
      <w:bookmarkStart w:id="31" w:name="dna-extraction-and-quantification-of-dna-concentration-1"/>
      <w:r>
        <w:t xml:space="preserve">DNA Extraction and Quantification of DNA concentration</w:t>
      </w:r>
      <w:bookmarkEnd w:id="31"/>
    </w:p>
    <w:p>
      <w:pPr>
        <w:pStyle w:val="FirstParagraph"/>
      </w:pPr>
      <w:r>
        <w:t xml:space="preserve">I performed DNA extraction by following the manufacturer’s protocol from</w:t>
      </w:r>
      <w:r>
        <w:t xml:space="preserve"> </w:t>
      </w:r>
      <w:r>
        <w:t xml:space="preserve">the Sigma REDExtract-N-Amp kit. After the extraction, I measured DNA</w:t>
      </w:r>
      <w:r>
        <w:t xml:space="preserve"> </w:t>
      </w:r>
      <w:r>
        <w:t xml:space="preserve">concentration using Qubit Fluorometer.</w:t>
      </w:r>
    </w:p>
    <w:p>
      <w:pPr>
        <w:pStyle w:val="Heading3"/>
      </w:pPr>
      <w:bookmarkStart w:id="32" w:name="pcr-and-gel-electrophoresis"/>
      <w:r>
        <w:t xml:space="preserve">PCR and Gel Electrophoresis</w:t>
      </w:r>
      <w:bookmarkEnd w:id="32"/>
    </w:p>
    <w:p>
      <w:pPr>
        <w:pStyle w:val="FirstParagraph"/>
      </w:pPr>
      <w:r>
        <w:t xml:space="preserve">I prepared the master mix for PCR using following ingredients:</w:t>
      </w:r>
      <w:r>
        <w:t xml:space="preserve"> </w:t>
      </w:r>
      <w:r>
        <w:t xml:space="preserve">Amp reagent, 16SF primer, 16SR primer, BSA, and water. After aliquoting</w:t>
      </w:r>
      <w:r>
        <w:t xml:space="preserve"> </w:t>
      </w:r>
      <w:r>
        <w:t xml:space="preserve">the master mix and adding DNA to each tube, PCR started with denaturing</w:t>
      </w:r>
      <w:r>
        <w:t xml:space="preserve"> </w:t>
      </w:r>
      <w:r>
        <w:t xml:space="preserve">at 95⁰C for 3 minutes. Subsequently, additional 25 cycles were started at</w:t>
      </w:r>
      <w:r>
        <w:t xml:space="preserve"> </w:t>
      </w:r>
      <w:r>
        <w:t xml:space="preserve">95⁰C for 30 seconds, 55⁰C for 30 seconds, and 72⁰C for 30 seconds.</w:t>
      </w:r>
      <w:r>
        <w:t xml:space="preserve"> </w:t>
      </w:r>
      <w:r>
        <w:t xml:space="preserve">The cycle stayed at 72⁰C for 5 minutes and went down to 4⁰C for hold.</w:t>
      </w:r>
      <w:r>
        <w:t xml:space="preserve"> </w:t>
      </w:r>
      <w:r>
        <w:t xml:space="preserve">6 PCR products and a negative control were loaded on 2% agarose gel</w:t>
      </w:r>
      <w:r>
        <w:t xml:space="preserve"> </w:t>
      </w:r>
      <w:r>
        <w:t xml:space="preserve">containing SYBR safe dye and ran the electrophoresis at 140V for</w:t>
      </w:r>
      <w:r>
        <w:t xml:space="preserve"> </w:t>
      </w:r>
      <w:r>
        <w:t xml:space="preserve">30 minutes.</w:t>
      </w:r>
    </w:p>
    <w:p>
      <w:pPr>
        <w:pStyle w:val="Heading3"/>
      </w:pPr>
      <w:bookmarkStart w:id="33" w:name="illumina-sequencing-and-analysis"/>
      <w:r>
        <w:t xml:space="preserve">Illumina sequencing and Analysis</w:t>
      </w:r>
      <w:bookmarkEnd w:id="33"/>
    </w:p>
    <w:p>
      <w:pPr>
        <w:pStyle w:val="FirstParagraph"/>
      </w:pPr>
      <w:r>
        <w:t xml:space="preserve">Following electrophoresis, PCR products were purified using AmpureXP magnetic</w:t>
      </w:r>
      <w:r>
        <w:t xml:space="preserve"> </w:t>
      </w:r>
      <w:r>
        <w:t xml:space="preserve">beads and quantitated using a PicoGreen fluorescent assay on a Tecan Infinite</w:t>
      </w:r>
      <w:r>
        <w:t xml:space="preserve"> </w:t>
      </w:r>
      <w:r>
        <w:t xml:space="preserve">M Plex plate reader. Purified PCR products were used as the template for a</w:t>
      </w:r>
      <w:r>
        <w:t xml:space="preserve"> </w:t>
      </w:r>
      <w:r>
        <w:t xml:space="preserve">second round of PCR, which served to attach the Illumina barcodes and</w:t>
      </w:r>
      <w:r>
        <w:t xml:space="preserve"> </w:t>
      </w:r>
      <w:r>
        <w:t xml:space="preserve">adapters. PCR cycles started with denaturing at 95⁰C for 3 minutes followed</w:t>
      </w:r>
      <w:r>
        <w:t xml:space="preserve"> </w:t>
      </w:r>
      <w:r>
        <w:t xml:space="preserve">by additional 25 cycles starting at 95⁰C for 30 seconds, 55⁰C for 30 seconds,</w:t>
      </w:r>
      <w:r>
        <w:t xml:space="preserve"> </w:t>
      </w:r>
      <w:r>
        <w:t xml:space="preserve">and 72⁰C for 30 seconds. The cycle stayed at 72⁰C for 5 minutes and went down</w:t>
      </w:r>
      <w:r>
        <w:t xml:space="preserve"> </w:t>
      </w:r>
      <w:r>
        <w:t xml:space="preserve">to 4⁰C for hold. Following this amplification, PCR products were purified and</w:t>
      </w:r>
      <w:r>
        <w:t xml:space="preserve"> </w:t>
      </w:r>
      <w:r>
        <w:t xml:space="preserve">normalized with a SequelPrep normalization plate, pooled, and then quantified</w:t>
      </w:r>
      <w:r>
        <w:t xml:space="preserve"> </w:t>
      </w:r>
      <w:r>
        <w:t xml:space="preserve">once again with a Qubit 4 fluorometer (Invitrogen) and a TapeStation 4200</w:t>
      </w:r>
      <w:r>
        <w:t xml:space="preserve"> </w:t>
      </w:r>
      <w:r>
        <w:t xml:space="preserve">(Agilent) to verify library size and concentration. This library was then</w:t>
      </w:r>
      <w:r>
        <w:t xml:space="preserve"> </w:t>
      </w:r>
      <w:r>
        <w:t xml:space="preserve">combined with an Illumina PhiX spike-in library (5% spike in) and sequenced</w:t>
      </w:r>
      <w:r>
        <w:t xml:space="preserve"> </w:t>
      </w:r>
      <w:r>
        <w:t xml:space="preserve">on an Illumina iSeq using a 2 x 150 bp consumable cartridge.</w:t>
      </w:r>
    </w:p>
    <w:p>
      <w:pPr>
        <w:pStyle w:val="Heading1"/>
      </w:pPr>
      <w:bookmarkStart w:id="34" w:name="results"/>
      <w:r>
        <w:t xml:space="preserve">Results</w:t>
      </w:r>
      <w:bookmarkEnd w:id="34"/>
    </w:p>
    <w:p>
      <w:pPr>
        <w:pStyle w:val="Heading3"/>
      </w:pPr>
      <w:bookmarkStart w:id="35" w:name="observations-of-the-samples-before-and-after-the-80-hour-storage"/>
      <w:r>
        <w:t xml:space="preserve">Observations of the samples before and after the 80-hour storage</w:t>
      </w:r>
      <w:bookmarkEnd w:id="35"/>
    </w:p>
    <w:p>
      <w:pPr>
        <w:pStyle w:val="FirstParagraph"/>
      </w:pPr>
      <w:r>
        <w:t xml:space="preserve">I performed a visual inspection of the samples before and after the experiment.</w:t>
      </w:r>
      <w:r>
        <w:t xml:space="preserve"> </w:t>
      </w:r>
      <w:r>
        <w:t xml:space="preserve">All samples appeared to be fresh with bright pink pigment and no noticeable</w:t>
      </w:r>
      <w:r>
        <w:t xml:space="preserve"> </w:t>
      </w:r>
      <w:r>
        <w:t xml:space="preserve">odor (Figure 1A). After 80 hours under different storage environments,</w:t>
      </w:r>
      <w:r>
        <w:t xml:space="preserve"> </w:t>
      </w:r>
      <w:r>
        <w:t xml:space="preserve">I observed some distinct characteristics developed from different treatment</w:t>
      </w:r>
      <w:r>
        <w:t xml:space="preserve"> </w:t>
      </w:r>
      <w:r>
        <w:t xml:space="preserve">groups. For treatment group A, sample 1 and 2 still exhibited its original</w:t>
      </w:r>
      <w:r>
        <w:t xml:space="preserve"> </w:t>
      </w:r>
      <w:r>
        <w:t xml:space="preserve">pigmentation while sample 3 completely turned to brown (Figure 1B).</w:t>
      </w:r>
      <w:r>
        <w:t xml:space="preserve"> </w:t>
      </w:r>
      <w:r>
        <w:t xml:space="preserve">Meanwhile, treatment group B exhibited more evident indication of spoilage</w:t>
      </w:r>
      <w:r>
        <w:t xml:space="preserve"> </w:t>
      </w:r>
      <w:r>
        <w:t xml:space="preserve">by turning into dark purple and brown pigments with pungent odor.</w:t>
      </w:r>
    </w:p>
    <w:p>
      <w:pPr>
        <w:pStyle w:val="BodyText"/>
      </w:pPr>
      <w:r>
        <w:drawing>
          <wp:inline>
            <wp:extent cx="5334000" cy="1437712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ata/images/Sample_images/2019_08_31_sample_image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43771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b/>
        </w:rPr>
        <w:t xml:space="preserve">Figure 1A:</w:t>
      </w:r>
      <w:r>
        <w:t xml:space="preserve"> </w:t>
      </w:r>
      <w:r>
        <w:t xml:space="preserve">Images of each sample at the beginning of the experiment.</w:t>
      </w:r>
      <w:r>
        <w:t xml:space="preserve"> </w:t>
      </w:r>
      <w:r>
        <w:t xml:space="preserve">The first image (#1) was collected from Teva kosher foods at Trader Joe’s,</w:t>
      </w:r>
      <w:r>
        <w:t xml:space="preserve"> </w:t>
      </w:r>
      <w:r>
        <w:t xml:space="preserve">the second sample (#2) was from Lucky California at Lucky Supermarkets, and</w:t>
      </w:r>
      <w:r>
        <w:t xml:space="preserve"> </w:t>
      </w:r>
      <w:r>
        <w:t xml:space="preserve">the last sample was from Butcher shop at Trader Joe’s.</w:t>
      </w:r>
    </w:p>
    <w:p>
      <w:pPr>
        <w:pStyle w:val="BodyText"/>
      </w:pPr>
      <w:r>
        <w:drawing>
          <wp:inline>
            <wp:extent cx="5334000" cy="2193229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ata/images/Sample_images/2019_09_04_sample_image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9322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b/>
        </w:rPr>
        <w:t xml:space="preserve">Figure 1B:</w:t>
      </w:r>
      <w:r>
        <w:t xml:space="preserve"> </w:t>
      </w:r>
      <w:r>
        <w:t xml:space="preserve">Images of each sample 80 hours after the beginning of the</w:t>
      </w:r>
      <w:r>
        <w:t xml:space="preserve"> </w:t>
      </w:r>
      <w:r>
        <w:t xml:space="preserve">experiment. A represents the treatment group remained refrigerated and</w:t>
      </w:r>
      <w:r>
        <w:t xml:space="preserve"> </w:t>
      </w:r>
      <w:r>
        <w:t xml:space="preserve">B represents the treatment group stored at room temperature.</w:t>
      </w:r>
    </w:p>
    <w:p>
      <w:pPr>
        <w:pStyle w:val="Heading2"/>
      </w:pPr>
      <w:bookmarkStart w:id="38" w:name="a.-cultured-samples"/>
      <w:r>
        <w:t xml:space="preserve">A. Cultured samples</w:t>
      </w:r>
      <w:bookmarkEnd w:id="38"/>
    </w:p>
    <w:p>
      <w:pPr>
        <w:pStyle w:val="Heading3"/>
      </w:pPr>
      <w:bookmarkStart w:id="39" w:name="qubit-dna-concentration-and-gel-image"/>
      <w:r>
        <w:t xml:space="preserve">Qubit DNA concentration and Gel Image</w:t>
      </w:r>
      <w:bookmarkEnd w:id="39"/>
    </w:p>
    <w:p>
      <w:pPr>
        <w:pStyle w:val="FirstParagraph"/>
      </w:pPr>
      <w:r>
        <w:t xml:space="preserve">To demonstrate successful DNA extraction, I measured DNA concentration</w:t>
      </w:r>
      <w:r>
        <w:t xml:space="preserve"> </w:t>
      </w:r>
      <w:r>
        <w:t xml:space="preserve">values for each sample using Qubit Fluorometer (Figure 2B). The data</w:t>
      </w:r>
      <w:r>
        <w:t xml:space="preserve"> </w:t>
      </w:r>
      <w:r>
        <w:t xml:space="preserve">validated that all samples contain DNA in it and the values were within</w:t>
      </w:r>
      <w:r>
        <w:t xml:space="preserve"> </w:t>
      </w:r>
      <w:r>
        <w:t xml:space="preserve">2-30ng/µL range. However, I found no bands in lane 6 and 7, sample #5</w:t>
      </w:r>
      <w:r>
        <w:t xml:space="preserve"> </w:t>
      </w:r>
      <w:r>
        <w:t xml:space="preserve">and 6 respectively, indicating no DNA separated from the sample (Figure 2C).</w:t>
      </w:r>
      <w:r>
        <w:t xml:space="preserve"> </w:t>
      </w:r>
      <w:r>
        <w:t xml:space="preserve">Sample #1, 2, and 4 showed bright bands while sample #3 produced</w:t>
      </w:r>
      <w:r>
        <w:t xml:space="preserve"> </w:t>
      </w:r>
      <w:r>
        <w:t xml:space="preserve">a faded band. All the visible bands are appeared to be about 1.5kb in</w:t>
      </w:r>
      <w:r>
        <w:t xml:space="preserve"> </w:t>
      </w:r>
      <w:r>
        <w:t xml:space="preserve">fragment size according to EZ Load 1 kb Molecular Ruler (Figure 2D).</w:t>
      </w:r>
    </w:p>
    <w:p>
      <w:pPr>
        <w:pStyle w:val="BodyText"/>
      </w:pPr>
      <w:r>
        <w:drawing>
          <wp:inline>
            <wp:extent cx="5334000" cy="289767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ata/images/Plate_images/2019_09_09_plate_image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9767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b/>
        </w:rPr>
        <w:t xml:space="preserve">FIgure 2A:</w:t>
      </w:r>
      <w:r>
        <w:t xml:space="preserve"> </w:t>
      </w:r>
      <w:r>
        <w:t xml:space="preserve">TSA plates for each cultured sample after incubation.</w:t>
      </w:r>
      <w:r>
        <w:t xml:space="preserve"> </w:t>
      </w:r>
      <w:r>
        <w:t xml:space="preserve">The top plates were cultured from the sample collected from</w:t>
      </w:r>
      <w:r>
        <w:t xml:space="preserve"> </w:t>
      </w:r>
      <w:r>
        <w:t xml:space="preserve">Teva kosher foods, Lucky California for the middle plates, and</w:t>
      </w:r>
      <w:r>
        <w:t xml:space="preserve"> </w:t>
      </w:r>
      <w:r>
        <w:t xml:space="preserve">Butcher shop samples on the bottom.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Sample ID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DNA Conc. (ng/µL)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</w:t>
            </w:r>
          </w:p>
        </w:tc>
        <w:tc>
          <w:p>
            <w:pPr>
              <w:pStyle w:val="Compact"/>
              <w:jc w:val="center"/>
            </w:pPr>
            <w:r>
              <w:t xml:space="preserve">10.50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</w:t>
            </w:r>
          </w:p>
        </w:tc>
        <w:tc>
          <w:p>
            <w:pPr>
              <w:pStyle w:val="Compact"/>
              <w:jc w:val="center"/>
            </w:pPr>
            <w:r>
              <w:t xml:space="preserve">25.50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</w:t>
            </w:r>
          </w:p>
        </w:tc>
        <w:tc>
          <w:p>
            <w:pPr>
              <w:pStyle w:val="Compact"/>
              <w:jc w:val="center"/>
            </w:pPr>
            <w:r>
              <w:t xml:space="preserve">7.56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4</w:t>
            </w:r>
          </w:p>
        </w:tc>
        <w:tc>
          <w:p>
            <w:pPr>
              <w:pStyle w:val="Compact"/>
              <w:jc w:val="center"/>
            </w:pPr>
            <w:r>
              <w:t xml:space="preserve">15.10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5</w:t>
            </w:r>
          </w:p>
        </w:tc>
        <w:tc>
          <w:p>
            <w:pPr>
              <w:pStyle w:val="Compact"/>
              <w:jc w:val="center"/>
            </w:pPr>
            <w:r>
              <w:t xml:space="preserve">12.40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6</w:t>
            </w:r>
          </w:p>
        </w:tc>
        <w:tc>
          <w:p>
            <w:pPr>
              <w:pStyle w:val="Compact"/>
              <w:jc w:val="center"/>
            </w:pPr>
            <w:r>
              <w:t xml:space="preserve">14.30</w:t>
            </w:r>
          </w:p>
        </w:tc>
      </w:tr>
    </w:tbl>
    <w:p>
      <w:pPr>
        <w:pStyle w:val="BodyText"/>
      </w:pPr>
      <w:r>
        <w:rPr>
          <w:b/>
        </w:rPr>
        <w:t xml:space="preserve">Figure 2B:</w:t>
      </w:r>
      <w:r>
        <w:t xml:space="preserve"> </w:t>
      </w:r>
      <w:r>
        <w:t xml:space="preserve">DNA concentration values for culture samples. Sample ID 1 was</w:t>
      </w:r>
      <w:r>
        <w:t xml:space="preserve"> </w:t>
      </w:r>
      <w:r>
        <w:t xml:space="preserve">extracted from the original stock of refrigerated Teva kosher foods from</w:t>
      </w:r>
      <w:r>
        <w:t xml:space="preserve"> </w:t>
      </w:r>
      <w:r>
        <w:t xml:space="preserve">Trader Joe’s, 2 was extracted from 1:100 dilution of refrigerated Teva</w:t>
      </w:r>
      <w:r>
        <w:t xml:space="preserve"> </w:t>
      </w:r>
      <w:r>
        <w:t xml:space="preserve">kosher foods from Trader Joe’s, 3 and 4 were extracted from the original</w:t>
      </w:r>
      <w:r>
        <w:t xml:space="preserve"> </w:t>
      </w:r>
      <w:r>
        <w:t xml:space="preserve">stock of refrigerated Lucky California from Lucky Supermarkets, and</w:t>
      </w:r>
      <w:r>
        <w:t xml:space="preserve"> </w:t>
      </w:r>
      <w:r>
        <w:t xml:space="preserve">5 and 6 were extracted from the original stock of refrigerated Butcher shop</w:t>
      </w:r>
      <w:r>
        <w:t xml:space="preserve"> </w:t>
      </w:r>
      <w:r>
        <w:t xml:space="preserve">from Trader Joe’s.</w:t>
      </w:r>
    </w:p>
    <w:p>
      <w:pPr>
        <w:pStyle w:val="BodyText"/>
      </w:pPr>
      <w:r>
        <w:drawing>
          <wp:inline>
            <wp:extent cx="5334000" cy="666118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ata/images/Gel_images/2019_09_18_Culture_PCR_gel_image_labeled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611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2C:</w:t>
      </w:r>
      <w:r>
        <w:t xml:space="preserve"> </w:t>
      </w:r>
      <w:r>
        <w:t xml:space="preserve">Gel image of culture samples. Ladder is shown in lane 1,</w:t>
      </w:r>
      <w:r>
        <w:t xml:space="preserve"> </w:t>
      </w:r>
      <w:r>
        <w:t xml:space="preserve">and the samples from 1 to 6 are located in lane 2-7. Negative control is</w:t>
      </w:r>
      <w:r>
        <w:t xml:space="preserve"> </w:t>
      </w:r>
      <w:r>
        <w:t xml:space="preserve">located in lane 8.</w:t>
      </w:r>
    </w:p>
    <w:p>
      <w:pPr>
        <w:pStyle w:val="BodyText"/>
      </w:pPr>
      <w:r>
        <w:drawing>
          <wp:inline>
            <wp:extent cx="2289197" cy="558871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ata/images/Gel_images/Ladder_EZ_Load_1kb_Molecular_Ruler_170835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9197" cy="55887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2D:</w:t>
      </w:r>
      <w:r>
        <w:t xml:space="preserve"> </w:t>
      </w:r>
      <w:r>
        <w:t xml:space="preserve">Ladder used in lane 1 (EZ Load 1 kb Molecular Ruler #1708355).</w:t>
      </w:r>
    </w:p>
    <w:p>
      <w:pPr>
        <w:pStyle w:val="Heading3"/>
      </w:pPr>
      <w:bookmarkStart w:id="43" w:name="comparison-of-colony-abundances-and-morphotypes"/>
      <w:r>
        <w:t xml:space="preserve">Comparison of colony abundances and morphotypes</w:t>
      </w:r>
      <w:bookmarkEnd w:id="43"/>
    </w:p>
    <w:p>
      <w:pPr>
        <w:pStyle w:val="FirstParagraph"/>
      </w:pPr>
      <w:r>
        <w:t xml:space="preserve">In the boxplot to compare the colony abundances of two treatment groups in</w:t>
      </w:r>
      <w:r>
        <w:t xml:space="preserve"> </w:t>
      </w:r>
      <w:r>
        <w:t xml:space="preserve">1:10 dilution, the refrigerated samples showed widely spread values while</w:t>
      </w:r>
      <w:r>
        <w:t xml:space="preserve"> </w:t>
      </w:r>
      <w:r>
        <w:t xml:space="preserve">the samples from room temperature treatment group only showed 1,000</w:t>
      </w:r>
      <w:r>
        <w:t xml:space="preserve"> </w:t>
      </w:r>
      <w:r>
        <w:t xml:space="preserve">abundances with no other variations (Figure 3A). In fact, 1,000 was an</w:t>
      </w:r>
      <w:r>
        <w:t xml:space="preserve"> </w:t>
      </w:r>
      <w:r>
        <w:t xml:space="preserve">arbitrary number to represent the uncountable colony abundance observed</w:t>
      </w:r>
      <w:r>
        <w:t xml:space="preserve"> </w:t>
      </w:r>
      <w:r>
        <w:t xml:space="preserve">from all room temperature samples. No statistical significance was found</w:t>
      </w:r>
      <w:r>
        <w:t xml:space="preserve"> </w:t>
      </w:r>
      <w:r>
        <w:t xml:space="preserve">between the two storage conditions and it failed to reject the null</w:t>
      </w:r>
      <w:r>
        <w:t xml:space="preserve"> </w:t>
      </w:r>
      <w:r>
        <w:t xml:space="preserve">hypothesis (p = 0.20). Similarly in Figure 3B, a broad variation of the</w:t>
      </w:r>
      <w:r>
        <w:t xml:space="preserve"> </w:t>
      </w:r>
      <w:r>
        <w:t xml:space="preserve">colony morphotypes was illustrated in the boxplot for refrigerated samples.</w:t>
      </w:r>
      <w:r>
        <w:t xml:space="preserve"> </w:t>
      </w:r>
      <w:r>
        <w:t xml:space="preserve">The p-value of 0.81 shown in the data indicated no significant difference</w:t>
      </w:r>
      <w:r>
        <w:t xml:space="preserve"> </w:t>
      </w:r>
      <w:r>
        <w:t xml:space="preserve">between the two groups and the p-value close to 1 (0.81) suggested a strong</w:t>
      </w:r>
      <w:r>
        <w:t xml:space="preserve"> </w:t>
      </w:r>
      <w:r>
        <w:t xml:space="preserve">confident that the data is random.</w:t>
      </w:r>
    </w:p>
    <w:p>
      <w:pPr>
        <w:pStyle w:val="BodyText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Bioinformatics_Report_files/figure-docx/filter-and-plot-abundances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3A:</w:t>
      </w:r>
      <w:r>
        <w:t xml:space="preserve"> </w:t>
      </w:r>
      <w:r>
        <w:t xml:space="preserve">Boxplot of colony abundances at different storage conditions,</w:t>
      </w:r>
      <w:r>
        <w:t xml:space="preserve"> </w:t>
      </w:r>
      <w:r>
        <w:t xml:space="preserve">10x dilution. Despite a higher median number of colonies from room temperature</w:t>
      </w:r>
      <w:r>
        <w:t xml:space="preserve"> </w:t>
      </w:r>
      <w:r>
        <w:t xml:space="preserve">samples, the sample groups were not significantly different between</w:t>
      </w:r>
      <w:r>
        <w:t xml:space="preserve"> </w:t>
      </w:r>
      <w:r>
        <w:t xml:space="preserve">the two storage conditions (Wilcox p = 0.20).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statistic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p.value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method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alternative</w:t>
            </w:r>
          </w:p>
        </w:tc>
      </w:tr>
      <w:tr>
        <w:tc>
          <w:p>
            <w:pPr>
              <w:pStyle w:val="Compact"/>
              <w:jc w:val="right"/>
            </w:pPr>
            <w:r>
              <w:t xml:space="preserve">1.5</w:t>
            </w:r>
          </w:p>
        </w:tc>
        <w:tc>
          <w:p>
            <w:pPr>
              <w:pStyle w:val="Compact"/>
              <w:jc w:val="right"/>
            </w:pPr>
            <w:r>
              <w:t xml:space="preserve">0.1967056</w:t>
            </w:r>
          </w:p>
        </w:tc>
        <w:tc>
          <w:p>
            <w:pPr>
              <w:pStyle w:val="Compact"/>
              <w:jc w:val="left"/>
            </w:pPr>
            <w:r>
              <w:t xml:space="preserve">Wilcoxon rank sum test with continuity correction</w:t>
            </w:r>
          </w:p>
        </w:tc>
        <w:tc>
          <w:p>
            <w:pPr>
              <w:pStyle w:val="Compact"/>
              <w:jc w:val="left"/>
            </w:pPr>
            <w:r>
              <w:t xml:space="preserve">two.sided</w:t>
            </w:r>
          </w:p>
        </w:tc>
      </w:tr>
    </w:tbl>
    <w:p>
      <w:pPr>
        <w:pStyle w:val="BodyText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Bioinformatics_Report_files/figure-docx/filter-and-plot-morphotypes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3B:</w:t>
      </w:r>
      <w:r>
        <w:t xml:space="preserve"> </w:t>
      </w:r>
      <w:r>
        <w:t xml:space="preserve">Boxplot showing the number of morphotypes from the two different</w:t>
      </w:r>
      <w:r>
        <w:t xml:space="preserve"> </w:t>
      </w:r>
      <w:r>
        <w:t xml:space="preserve">storage conditions. There was no statistical significance in the morphotypes</w:t>
      </w:r>
      <w:r>
        <w:t xml:space="preserve"> </w:t>
      </w:r>
      <w:r>
        <w:t xml:space="preserve">(Wilcox p=0.81).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statistic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p.value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method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alternative</w:t>
            </w:r>
          </w:p>
        </w:tc>
      </w:tr>
      <w:tr>
        <w:tc>
          <w:p>
            <w:pPr>
              <w:pStyle w:val="Compact"/>
              <w:jc w:val="right"/>
            </w:pPr>
            <w:r>
              <w:t xml:space="preserve">5.5</w:t>
            </w:r>
          </w:p>
        </w:tc>
        <w:tc>
          <w:p>
            <w:pPr>
              <w:pStyle w:val="Compact"/>
              <w:jc w:val="right"/>
            </w:pPr>
            <w:r>
              <w:t xml:space="preserve">0.8136637</w:t>
            </w:r>
          </w:p>
        </w:tc>
        <w:tc>
          <w:p>
            <w:pPr>
              <w:pStyle w:val="Compact"/>
              <w:jc w:val="left"/>
            </w:pPr>
            <w:r>
              <w:t xml:space="preserve">Wilcoxon rank sum test with continuity correction</w:t>
            </w:r>
          </w:p>
        </w:tc>
        <w:tc>
          <w:p>
            <w:pPr>
              <w:pStyle w:val="Compact"/>
              <w:jc w:val="left"/>
            </w:pPr>
            <w:r>
              <w:t xml:space="preserve">two.sided</w:t>
            </w:r>
          </w:p>
        </w:tc>
      </w:tr>
    </w:tbl>
    <w:p>
      <w:pPr>
        <w:pStyle w:val="Heading3"/>
      </w:pPr>
      <w:bookmarkStart w:id="46" w:name="sanger-sequencing-and-phylogenetic-trees"/>
      <w:r>
        <w:t xml:space="preserve">Sanger Sequencing and Phylogenetic Trees</w:t>
      </w:r>
      <w:bookmarkEnd w:id="46"/>
    </w:p>
    <w:p>
      <w:pPr>
        <w:pStyle w:val="FirstParagraph"/>
      </w:pPr>
      <w:r>
        <w:t xml:space="preserve">After loading the Sanger sequencing data in Geneious Prime, I obtained</w:t>
      </w:r>
      <w:r>
        <w:t xml:space="preserve"> </w:t>
      </w:r>
      <w:r>
        <w:t xml:space="preserve">3 solid data, 3 completely failed data including the negative control,</w:t>
      </w:r>
      <w:r>
        <w:t xml:space="preserve"> </w:t>
      </w:r>
      <w:r>
        <w:t xml:space="preserve">and 1 seemingly failed data (Figure 4A). I used the 3 successful data after</w:t>
      </w:r>
      <w:r>
        <w:t xml:space="preserve"> </w:t>
      </w:r>
      <w:r>
        <w:t xml:space="preserve">trimming to create Maximum Likelihood and Bayesian phylogenetic trees</w:t>
      </w:r>
      <w:r>
        <w:t xml:space="preserve"> </w:t>
      </w:r>
      <w:r>
        <w:t xml:space="preserve">with</w:t>
      </w:r>
      <w:r>
        <w:t xml:space="preserve"> </w:t>
      </w:r>
      <w:r>
        <w:rPr>
          <w:i/>
        </w:rPr>
        <w:t xml:space="preserve">Thermus aquaticus</w:t>
      </w:r>
      <w:r>
        <w:t xml:space="preserve"> </w:t>
      </w:r>
      <w:r>
        <w:t xml:space="preserve">as an outgroup (Figure 4A, 4B) and found a strong</w:t>
      </w:r>
      <w:r>
        <w:t xml:space="preserve"> </w:t>
      </w:r>
      <w:r>
        <w:t xml:space="preserve">evidence from both phylogenies that support to group Sample #1 and 2</w:t>
      </w:r>
      <w:r>
        <w:t xml:space="preserve"> </w:t>
      </w:r>
      <w:r>
        <w:t xml:space="preserve">as a monophyletic group (Bayesian posterior probability = 0.9998,</w:t>
      </w:r>
      <w:r>
        <w:t xml:space="preserve"> </w:t>
      </w:r>
      <w:r>
        <w:t xml:space="preserve">ML bootstrap = 98).</w:t>
      </w:r>
    </w:p>
    <w:tbl>
      <w:tblPr>
        <w:tblStyle w:val="Table"/>
        <w:tblW w:type="pct" w:w="4999.999999999999"/>
        <w:tblLook w:firstRow="1"/>
      </w:tblPr>
      <w:tblGrid>
        <w:gridCol w:w="275"/>
        <w:gridCol w:w="1377"/>
        <w:gridCol w:w="2341"/>
        <w:gridCol w:w="619"/>
        <w:gridCol w:w="1584"/>
        <w:gridCol w:w="1721"/>
      </w:tblGrid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ID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Original File Name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File Name after Correction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Usable?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Length after Trimming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Manually Adjusted Bases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</w:t>
            </w:r>
          </w:p>
        </w:tc>
        <w:tc>
          <w:p>
            <w:pPr>
              <w:pStyle w:val="Compact"/>
              <w:jc w:val="center"/>
            </w:pPr>
            <w:r>
              <w:t xml:space="preserve">1-KC_27f_A01.ab1</w:t>
            </w:r>
          </w:p>
        </w:tc>
        <w:tc>
          <w:p>
            <w:pPr>
              <w:pStyle w:val="Compact"/>
              <w:jc w:val="center"/>
            </w:pPr>
            <w:r>
              <w:t xml:space="preserve">1-KC_27f_A01_KC_cleaned.ab1</w:t>
            </w:r>
          </w:p>
        </w:tc>
        <w:tc>
          <w:p>
            <w:pPr>
              <w:pStyle w:val="Compact"/>
              <w:jc w:val="center"/>
            </w:pPr>
            <w:r>
              <w:t xml:space="preserve">Yes</w:t>
            </w:r>
          </w:p>
        </w:tc>
        <w:tc>
          <w:p>
            <w:pPr>
              <w:pStyle w:val="Compact"/>
              <w:jc w:val="center"/>
            </w:pPr>
            <w:r>
              <w:t xml:space="preserve">611</w:t>
            </w:r>
          </w:p>
        </w:tc>
        <w:tc>
          <w:p>
            <w:pPr>
              <w:pStyle w:val="Compact"/>
              <w:jc w:val="center"/>
            </w:pPr>
            <w:r>
              <w:t xml:space="preserve">16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</w:t>
            </w:r>
          </w:p>
        </w:tc>
        <w:tc>
          <w:p>
            <w:pPr>
              <w:pStyle w:val="Compact"/>
              <w:jc w:val="center"/>
            </w:pPr>
            <w:r>
              <w:t xml:space="preserve">2-KC_27f_B01.ab1</w:t>
            </w:r>
          </w:p>
        </w:tc>
        <w:tc>
          <w:p>
            <w:pPr>
              <w:pStyle w:val="Compact"/>
              <w:jc w:val="center"/>
            </w:pPr>
            <w:r>
              <w:t xml:space="preserve">2-KC_27f_B01_KC_cleaned.ab1</w:t>
            </w:r>
          </w:p>
        </w:tc>
        <w:tc>
          <w:p>
            <w:pPr>
              <w:pStyle w:val="Compact"/>
              <w:jc w:val="center"/>
            </w:pPr>
            <w:r>
              <w:t xml:space="preserve">Yes</w:t>
            </w:r>
          </w:p>
        </w:tc>
        <w:tc>
          <w:p>
            <w:pPr>
              <w:pStyle w:val="Compact"/>
              <w:jc w:val="center"/>
            </w:pPr>
            <w:r>
              <w:t xml:space="preserve">713</w:t>
            </w:r>
          </w:p>
        </w:tc>
        <w:tc>
          <w:p>
            <w:pPr>
              <w:pStyle w:val="Compact"/>
              <w:jc w:val="center"/>
            </w:pPr>
            <w:r>
              <w:t xml:space="preserve">36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</w:t>
            </w:r>
          </w:p>
        </w:tc>
        <w:tc>
          <w:p>
            <w:pPr>
              <w:pStyle w:val="Compact"/>
              <w:jc w:val="center"/>
            </w:pPr>
            <w:r>
              <w:t xml:space="preserve">3-KC_27f_C01.ab1</w:t>
            </w:r>
          </w:p>
        </w:tc>
        <w:tc>
          <w:p>
            <w:pPr>
              <w:pStyle w:val="Compact"/>
              <w:jc w:val="center"/>
            </w:pPr>
            <w:r>
              <w:t xml:space="preserve">3-KC_27f_C01_KC_failed_blast.ab1</w:t>
            </w:r>
          </w:p>
        </w:tc>
        <w:tc>
          <w:p>
            <w:pPr>
              <w:pStyle w:val="Compact"/>
              <w:jc w:val="center"/>
            </w:pPr>
            <w:r>
              <w:t xml:space="preserve">No</w:t>
            </w:r>
          </w:p>
        </w:tc>
        <w:tc>
          <w:p>
            <w:pPr>
              <w:pStyle w:val="Compact"/>
              <w:jc w:val="center"/>
            </w:pPr>
            <w:r>
              <w:t xml:space="preserve">N/A</w:t>
            </w:r>
          </w:p>
        </w:tc>
        <w:tc>
          <w:p>
            <w:pPr>
              <w:pStyle w:val="Compact"/>
              <w:jc w:val="center"/>
            </w:pPr>
            <w:r>
              <w:t xml:space="preserve">N/A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4</w:t>
            </w:r>
          </w:p>
        </w:tc>
        <w:tc>
          <w:p>
            <w:pPr>
              <w:pStyle w:val="Compact"/>
              <w:jc w:val="center"/>
            </w:pPr>
            <w:r>
              <w:t xml:space="preserve">4-KC_27f_D01.ab1</w:t>
            </w:r>
          </w:p>
        </w:tc>
        <w:tc>
          <w:p>
            <w:pPr>
              <w:pStyle w:val="Compact"/>
              <w:jc w:val="center"/>
            </w:pPr>
            <w:r>
              <w:t xml:space="preserve">4-KC_27f_D01_KC_cleaned.ab1</w:t>
            </w:r>
          </w:p>
        </w:tc>
        <w:tc>
          <w:p>
            <w:pPr>
              <w:pStyle w:val="Compact"/>
              <w:jc w:val="center"/>
            </w:pPr>
            <w:r>
              <w:t xml:space="preserve">Yes</w:t>
            </w:r>
          </w:p>
        </w:tc>
        <w:tc>
          <w:p>
            <w:pPr>
              <w:pStyle w:val="Compact"/>
              <w:jc w:val="center"/>
            </w:pPr>
            <w:r>
              <w:t xml:space="preserve">552</w:t>
            </w:r>
          </w:p>
        </w:tc>
        <w:tc>
          <w:p>
            <w:pPr>
              <w:pStyle w:val="Compact"/>
              <w:jc w:val="center"/>
            </w:pPr>
            <w:r>
              <w:t xml:space="preserve">8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5</w:t>
            </w:r>
          </w:p>
        </w:tc>
        <w:tc>
          <w:p>
            <w:pPr>
              <w:pStyle w:val="Compact"/>
              <w:jc w:val="center"/>
            </w:pPr>
            <w:r>
              <w:t xml:space="preserve">5-KC_27f_E01.ab1</w:t>
            </w:r>
          </w:p>
        </w:tc>
        <w:tc>
          <w:p>
            <w:pPr>
              <w:pStyle w:val="Compact"/>
              <w:jc w:val="center"/>
            </w:pPr>
            <w:r>
              <w:t xml:space="preserve">5-KC_27f_E01_KC_failed.ab1</w:t>
            </w:r>
          </w:p>
        </w:tc>
        <w:tc>
          <w:p>
            <w:pPr>
              <w:pStyle w:val="Compact"/>
              <w:jc w:val="center"/>
            </w:pPr>
            <w:r>
              <w:t xml:space="preserve">No</w:t>
            </w:r>
          </w:p>
        </w:tc>
        <w:tc>
          <w:p>
            <w:pPr>
              <w:pStyle w:val="Compact"/>
              <w:jc w:val="center"/>
            </w:pPr>
            <w:r>
              <w:t xml:space="preserve">N/A</w:t>
            </w:r>
          </w:p>
        </w:tc>
        <w:tc>
          <w:p>
            <w:pPr>
              <w:pStyle w:val="Compact"/>
              <w:jc w:val="center"/>
            </w:pPr>
            <w:r>
              <w:t xml:space="preserve">N/A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6</w:t>
            </w:r>
          </w:p>
        </w:tc>
        <w:tc>
          <w:p>
            <w:pPr>
              <w:pStyle w:val="Compact"/>
              <w:jc w:val="center"/>
            </w:pPr>
            <w:r>
              <w:t xml:space="preserve">6-KC_27f_F01.ab1</w:t>
            </w:r>
          </w:p>
        </w:tc>
        <w:tc>
          <w:p>
            <w:pPr>
              <w:pStyle w:val="Compact"/>
              <w:jc w:val="center"/>
            </w:pPr>
            <w:r>
              <w:t xml:space="preserve">6-KC_27f_F01_KC_failed.ab1</w:t>
            </w:r>
          </w:p>
        </w:tc>
        <w:tc>
          <w:p>
            <w:pPr>
              <w:pStyle w:val="Compact"/>
              <w:jc w:val="center"/>
            </w:pPr>
            <w:r>
              <w:t xml:space="preserve">No</w:t>
            </w:r>
          </w:p>
        </w:tc>
        <w:tc>
          <w:p>
            <w:pPr>
              <w:pStyle w:val="Compact"/>
              <w:jc w:val="center"/>
            </w:pPr>
            <w:r>
              <w:t xml:space="preserve">N/A</w:t>
            </w:r>
          </w:p>
        </w:tc>
        <w:tc>
          <w:p>
            <w:pPr>
              <w:pStyle w:val="Compact"/>
              <w:jc w:val="center"/>
            </w:pPr>
            <w:r>
              <w:t xml:space="preserve">N/A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7</w:t>
            </w:r>
          </w:p>
        </w:tc>
        <w:tc>
          <w:p>
            <w:pPr>
              <w:pStyle w:val="Compact"/>
              <w:jc w:val="center"/>
            </w:pPr>
            <w:r>
              <w:t xml:space="preserve">7-KC Neg Control</w:t>
            </w:r>
          </w:p>
        </w:tc>
        <w:tc>
          <w:p>
            <w:pPr>
              <w:pStyle w:val="Compact"/>
              <w:jc w:val="center"/>
            </w:pPr>
            <w:r>
              <w:t xml:space="preserve">7-KC Neg Control_KC_failed</w:t>
            </w:r>
          </w:p>
        </w:tc>
        <w:tc>
          <w:p>
            <w:pPr>
              <w:pStyle w:val="Compact"/>
              <w:jc w:val="center"/>
            </w:pPr>
            <w:r>
              <w:t xml:space="preserve">No</w:t>
            </w:r>
          </w:p>
        </w:tc>
        <w:tc>
          <w:p>
            <w:pPr>
              <w:pStyle w:val="Compact"/>
              <w:jc w:val="center"/>
            </w:pPr>
            <w:r>
              <w:t xml:space="preserve">N/A</w:t>
            </w:r>
          </w:p>
        </w:tc>
        <w:tc>
          <w:p>
            <w:pPr>
              <w:pStyle w:val="Compact"/>
              <w:jc w:val="center"/>
            </w:pPr>
            <w:r>
              <w:t xml:space="preserve">N/A</w:t>
            </w:r>
          </w:p>
        </w:tc>
      </w:tr>
    </w:tbl>
    <w:p>
      <w:pPr>
        <w:pStyle w:val="BodyText"/>
      </w:pPr>
      <w:r>
        <w:rPr>
          <w:b/>
        </w:rPr>
        <w:t xml:space="preserve">Figure 4A:</w:t>
      </w:r>
      <w:r>
        <w:t xml:space="preserve"> </w:t>
      </w:r>
      <w:r>
        <w:t xml:space="preserve">Sanger sequencing data for each sample analyzed by Geneious</w:t>
      </w:r>
      <w:r>
        <w:t xml:space="preserve"> </w:t>
      </w:r>
      <w:r>
        <w:t xml:space="preserve">Prime.</w:t>
      </w:r>
    </w:p>
    <w:p>
      <w:pPr>
        <w:pStyle w:val="BodyText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ata/images/Phylogenies/Sanger_MrBayes_phylogenie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4B:</w:t>
      </w:r>
      <w:r>
        <w:t xml:space="preserve"> </w:t>
      </w:r>
      <w:r>
        <w:t xml:space="preserve">Bayesian phylogenetic tree constructed by MrBayes.</w:t>
      </w:r>
    </w:p>
    <w:p>
      <w:pPr>
        <w:pStyle w:val="BodyText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ata/images/Phylogenies/Sanger_PhyML_phylogenie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4C:</w:t>
      </w:r>
      <w:r>
        <w:t xml:space="preserve"> </w:t>
      </w:r>
      <w:r>
        <w:t xml:space="preserve">Maximum Likelihood phylogeny constructed by PhyML.</w:t>
      </w:r>
    </w:p>
    <w:p>
      <w:pPr>
        <w:pStyle w:val="Heading3"/>
      </w:pPr>
      <w:bookmarkStart w:id="49" w:name="identification-of-samples-using-blast"/>
      <w:r>
        <w:t xml:space="preserve">Identification of Samples using BLAST</w:t>
      </w:r>
      <w:bookmarkEnd w:id="49"/>
    </w:p>
    <w:p>
      <w:pPr>
        <w:pStyle w:val="FirstParagraph"/>
      </w:pPr>
      <w:r>
        <w:t xml:space="preserve">I provided 3 successful data (Sample #1, 2, and 4) and 1 seemingly failed</w:t>
      </w:r>
      <w:r>
        <w:t xml:space="preserve"> </w:t>
      </w:r>
      <w:r>
        <w:t xml:space="preserve">data (Sample #3) into BLAST to identify each sample and observed 4 different</w:t>
      </w:r>
      <w:r>
        <w:t xml:space="preserve"> </w:t>
      </w:r>
      <w:r>
        <w:t xml:space="preserve">identifications with strong evidence to support the data (Figure 5).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ID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Description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% Identity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Query cover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Accession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E-value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Acinetobacter baumannii</w:t>
            </w:r>
          </w:p>
        </w:tc>
        <w:tc>
          <w:p>
            <w:pPr>
              <w:pStyle w:val="Compact"/>
              <w:jc w:val="center"/>
            </w:pPr>
            <w:r>
              <w:t xml:space="preserve">97.38</w:t>
            </w:r>
          </w:p>
        </w:tc>
        <w:tc>
          <w:p>
            <w:pPr>
              <w:pStyle w:val="Compact"/>
              <w:jc w:val="center"/>
            </w:pPr>
            <w:r>
              <w:t xml:space="preserve">100%</w:t>
            </w:r>
          </w:p>
        </w:tc>
        <w:tc>
          <w:p>
            <w:pPr>
              <w:pStyle w:val="Compact"/>
              <w:jc w:val="center"/>
            </w:pPr>
            <w:r>
              <w:t xml:space="preserve">CP044356.1</w:t>
            </w:r>
          </w:p>
        </w:tc>
        <w:tc>
          <w:p>
            <w:pPr>
              <w:pStyle w:val="Compact"/>
              <w:jc w:val="center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Hafnia paralvei</w:t>
            </w:r>
          </w:p>
        </w:tc>
        <w:tc>
          <w:p>
            <w:pPr>
              <w:pStyle w:val="Compact"/>
              <w:jc w:val="center"/>
            </w:pPr>
            <w:r>
              <w:t xml:space="preserve">96.36</w:t>
            </w:r>
          </w:p>
        </w:tc>
        <w:tc>
          <w:p>
            <w:pPr>
              <w:pStyle w:val="Compact"/>
              <w:jc w:val="center"/>
            </w:pPr>
            <w:r>
              <w:t xml:space="preserve">96%</w:t>
            </w:r>
          </w:p>
        </w:tc>
        <w:tc>
          <w:p>
            <w:pPr>
              <w:pStyle w:val="Compact"/>
              <w:jc w:val="center"/>
            </w:pPr>
            <w:r>
              <w:t xml:space="preserve">MK995600.1</w:t>
            </w:r>
          </w:p>
        </w:tc>
        <w:tc>
          <w:p>
            <w:pPr>
              <w:pStyle w:val="Compact"/>
              <w:jc w:val="center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Kocuria rhizophila</w:t>
            </w:r>
          </w:p>
        </w:tc>
        <w:tc>
          <w:p>
            <w:pPr>
              <w:pStyle w:val="Compact"/>
              <w:jc w:val="center"/>
            </w:pPr>
            <w:r>
              <w:t xml:space="preserve">90.46</w:t>
            </w:r>
          </w:p>
        </w:tc>
        <w:tc>
          <w:p>
            <w:pPr>
              <w:pStyle w:val="Compact"/>
              <w:jc w:val="center"/>
            </w:pPr>
            <w:r>
              <w:t xml:space="preserve">77%</w:t>
            </w:r>
          </w:p>
        </w:tc>
        <w:tc>
          <w:p>
            <w:pPr>
              <w:pStyle w:val="Compact"/>
              <w:jc w:val="center"/>
            </w:pPr>
            <w:r>
              <w:t xml:space="preserve">KY522908.1</w:t>
            </w:r>
          </w:p>
        </w:tc>
        <w:tc>
          <w:p>
            <w:pPr>
              <w:pStyle w:val="Compact"/>
              <w:jc w:val="center"/>
            </w:pPr>
            <w:r>
              <w:t xml:space="preserve">5e-136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4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Staphylococcus saprophyticus</w:t>
            </w:r>
          </w:p>
        </w:tc>
        <w:tc>
          <w:p>
            <w:pPr>
              <w:pStyle w:val="Compact"/>
              <w:jc w:val="center"/>
            </w:pPr>
            <w:r>
              <w:t xml:space="preserve">98.55</w:t>
            </w:r>
          </w:p>
        </w:tc>
        <w:tc>
          <w:p>
            <w:pPr>
              <w:pStyle w:val="Compact"/>
              <w:jc w:val="center"/>
            </w:pPr>
            <w:r>
              <w:t xml:space="preserve">100%</w:t>
            </w:r>
          </w:p>
        </w:tc>
        <w:tc>
          <w:p>
            <w:pPr>
              <w:pStyle w:val="Compact"/>
              <w:jc w:val="center"/>
            </w:pPr>
            <w:r>
              <w:t xml:space="preserve">MH930439.1</w:t>
            </w:r>
          </w:p>
        </w:tc>
        <w:tc>
          <w:p>
            <w:pPr>
              <w:pStyle w:val="Compact"/>
              <w:jc w:val="center"/>
            </w:pPr>
            <w:r>
              <w:t xml:space="preserve">0</w:t>
            </w:r>
          </w:p>
        </w:tc>
      </w:tr>
    </w:tbl>
    <w:p>
      <w:pPr>
        <w:pStyle w:val="BodyText"/>
      </w:pPr>
      <w:r>
        <w:rPr>
          <w:b/>
        </w:rPr>
        <w:t xml:space="preserve">Figure 5:</w:t>
      </w:r>
      <w:r>
        <w:t xml:space="preserve"> </w:t>
      </w:r>
      <w:r>
        <w:t xml:space="preserve">Identification of each sample conducted by BLAST.</w:t>
      </w:r>
    </w:p>
    <w:p>
      <w:pPr>
        <w:pStyle w:val="Heading2"/>
      </w:pPr>
      <w:bookmarkStart w:id="50" w:name="b.-culture-free-samples"/>
      <w:r>
        <w:t xml:space="preserve">B. Culture-free samples</w:t>
      </w:r>
      <w:bookmarkEnd w:id="50"/>
    </w:p>
    <w:p>
      <w:pPr>
        <w:pStyle w:val="Heading3"/>
      </w:pPr>
      <w:bookmarkStart w:id="51" w:name="qubit-dna-concentration-and-gel-image-1"/>
      <w:r>
        <w:t xml:space="preserve">Qubit DNA concentration and Gel Image</w:t>
      </w:r>
      <w:bookmarkEnd w:id="51"/>
    </w:p>
    <w:p>
      <w:pPr>
        <w:pStyle w:val="FirstParagraph"/>
      </w:pPr>
      <w:r>
        <w:t xml:space="preserve">I measured DNA concentration values for culture-free samples using Qubit</w:t>
      </w:r>
      <w:r>
        <w:t xml:space="preserve"> </w:t>
      </w:r>
      <w:r>
        <w:t xml:space="preserve">Fluorometer (Figure 6A). The data validated that all samples contain DNA</w:t>
      </w:r>
      <w:r>
        <w:t xml:space="preserve"> </w:t>
      </w:r>
      <w:r>
        <w:t xml:space="preserve">in it. However, I found a bright band only in lane 6 and did not observe</w:t>
      </w:r>
      <w:r>
        <w:t xml:space="preserve"> </w:t>
      </w:r>
      <w:r>
        <w:t xml:space="preserve">any bands in other lnaes. The gel image showed that there was no DNA</w:t>
      </w:r>
      <w:r>
        <w:t xml:space="preserve"> </w:t>
      </w:r>
      <w:r>
        <w:t xml:space="preserve">separated except for the sample #3B in lane 6 (Figure 6C).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Sample ID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DNA Conc. (ng/µL)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1A</w:t>
            </w:r>
          </w:p>
        </w:tc>
        <w:tc>
          <w:p>
            <w:pPr>
              <w:pStyle w:val="Compact"/>
              <w:jc w:val="center"/>
            </w:pPr>
            <w:r>
              <w:t xml:space="preserve">2.14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1B</w:t>
            </w:r>
          </w:p>
        </w:tc>
        <w:tc>
          <w:p>
            <w:pPr>
              <w:pStyle w:val="Compact"/>
              <w:jc w:val="center"/>
            </w:pPr>
            <w:r>
              <w:t xml:space="preserve">3.39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2A</w:t>
            </w:r>
          </w:p>
        </w:tc>
        <w:tc>
          <w:p>
            <w:pPr>
              <w:pStyle w:val="Compact"/>
              <w:jc w:val="center"/>
            </w:pPr>
            <w:r>
              <w:t xml:space="preserve">2.11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2B</w:t>
            </w:r>
          </w:p>
        </w:tc>
        <w:tc>
          <w:p>
            <w:pPr>
              <w:pStyle w:val="Compact"/>
              <w:jc w:val="center"/>
            </w:pPr>
            <w:r>
              <w:t xml:space="preserve">2.17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3A</w:t>
            </w:r>
          </w:p>
        </w:tc>
        <w:tc>
          <w:p>
            <w:pPr>
              <w:pStyle w:val="Compact"/>
              <w:jc w:val="center"/>
            </w:pPr>
            <w:r>
              <w:t xml:space="preserve">1.10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3B</w:t>
            </w:r>
          </w:p>
        </w:tc>
        <w:tc>
          <w:p>
            <w:pPr>
              <w:pStyle w:val="Compact"/>
              <w:jc w:val="center"/>
            </w:pPr>
            <w:r>
              <w:t xml:space="preserve">4.62</w:t>
            </w:r>
          </w:p>
        </w:tc>
      </w:tr>
    </w:tbl>
    <w:p>
      <w:pPr>
        <w:pStyle w:val="BodyText"/>
      </w:pPr>
      <w:r>
        <w:rPr>
          <w:b/>
        </w:rPr>
        <w:t xml:space="preserve">Figure 6A:</w:t>
      </w:r>
      <w:r>
        <w:t xml:space="preserve"> </w:t>
      </w:r>
      <w:r>
        <w:t xml:space="preserve">DNA concentration values for culture-free samples. Sample ID</w:t>
      </w:r>
      <w:r>
        <w:t xml:space="preserve"> </w:t>
      </w:r>
      <w:r>
        <w:t xml:space="preserve">1A and 1B were extracted from Teva kosher foods (Trader Joe’s), 2A and 2B</w:t>
      </w:r>
      <w:r>
        <w:t xml:space="preserve"> </w:t>
      </w:r>
      <w:r>
        <w:t xml:space="preserve">were Lucky California (Lucky Supermarkets), and 3A and 3B were obtained</w:t>
      </w:r>
      <w:r>
        <w:t xml:space="preserve"> </w:t>
      </w:r>
      <w:r>
        <w:t xml:space="preserve">from Butcher shop (Trader Joe’s). The letter A corresponds to the refrigerated</w:t>
      </w:r>
      <w:r>
        <w:t xml:space="preserve"> </w:t>
      </w:r>
      <w:r>
        <w:t xml:space="preserve">samples and B indicates the storage condition at room temperature.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Sample ID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DNA Conc. (ng/µL)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1A</w:t>
            </w:r>
          </w:p>
        </w:tc>
        <w:tc>
          <w:p>
            <w:pPr>
              <w:pStyle w:val="Compact"/>
              <w:jc w:val="center"/>
            </w:pPr>
            <w:r>
              <w:t xml:space="preserve">6.60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1B</w:t>
            </w:r>
          </w:p>
        </w:tc>
        <w:tc>
          <w:p>
            <w:pPr>
              <w:pStyle w:val="Compact"/>
              <w:jc w:val="center"/>
            </w:pPr>
            <w:r>
              <w:t xml:space="preserve">3.20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2A</w:t>
            </w:r>
          </w:p>
        </w:tc>
        <w:tc>
          <w:p>
            <w:pPr>
              <w:pStyle w:val="Compact"/>
              <w:jc w:val="center"/>
            </w:pPr>
            <w:r>
              <w:t xml:space="preserve">4.82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2B</w:t>
            </w:r>
          </w:p>
        </w:tc>
        <w:tc>
          <w:p>
            <w:pPr>
              <w:pStyle w:val="Compact"/>
              <w:jc w:val="center"/>
            </w:pPr>
            <w:r>
              <w:t xml:space="preserve">5.24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3A</w:t>
            </w:r>
          </w:p>
        </w:tc>
        <w:tc>
          <w:p>
            <w:pPr>
              <w:pStyle w:val="Compact"/>
              <w:jc w:val="center"/>
            </w:pPr>
            <w:r>
              <w:t xml:space="preserve">5.70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3B</w:t>
            </w:r>
          </w:p>
        </w:tc>
        <w:tc>
          <w:p>
            <w:pPr>
              <w:pStyle w:val="Compact"/>
              <w:jc w:val="center"/>
            </w:pPr>
            <w:r>
              <w:t xml:space="preserve">16.30</w:t>
            </w:r>
          </w:p>
        </w:tc>
      </w:tr>
    </w:tbl>
    <w:p>
      <w:pPr>
        <w:pStyle w:val="BodyText"/>
      </w:pPr>
      <w:r>
        <w:rPr>
          <w:b/>
        </w:rPr>
        <w:t xml:space="preserve">Figure 6B:</w:t>
      </w:r>
      <w:r>
        <w:t xml:space="preserve"> </w:t>
      </w:r>
      <w:r>
        <w:t xml:space="preserve">DNA concentration values for the PCR product of</w:t>
      </w:r>
      <w:r>
        <w:t xml:space="preserve"> </w:t>
      </w:r>
      <w:r>
        <w:t xml:space="preserve">culture-free samples. Notice sample #3B exhibited the highest concentration</w:t>
      </w:r>
      <w:r>
        <w:t xml:space="preserve"> </w:t>
      </w:r>
      <w:r>
        <w:t xml:space="preserve">value as it was the only bright band observed on the gel image.</w:t>
      </w:r>
    </w:p>
    <w:p>
      <w:pPr>
        <w:pStyle w:val="BodyText"/>
      </w:pPr>
      <w:r>
        <w:drawing>
          <wp:inline>
            <wp:extent cx="4808593" cy="4744648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ata/images/Gel_images/2019_09_25_Culturefree_PCR_gel_image_labeled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8593" cy="47446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6C:</w:t>
      </w:r>
      <w:r>
        <w:t xml:space="preserve"> </w:t>
      </w:r>
      <w:r>
        <w:t xml:space="preserve">Gel image of culture-free samples. Samples from 1A to 3B are</w:t>
      </w:r>
      <w:r>
        <w:t xml:space="preserve"> </w:t>
      </w:r>
      <w:r>
        <w:t xml:space="preserve">located in lane 1-6. Negative control is loaded in lane 7 and the ladder is</w:t>
      </w:r>
      <w:r>
        <w:t xml:space="preserve"> </w:t>
      </w:r>
      <w:r>
        <w:t xml:space="preserve">shown in lane 8.</w:t>
      </w:r>
    </w:p>
    <w:p>
      <w:pPr>
        <w:pStyle w:val="Heading3"/>
      </w:pPr>
      <w:bookmarkStart w:id="53" w:name="trimming-sequences-with-trimmomatic-and-sequence-quality"/>
      <w:r>
        <w:t xml:space="preserve">Trimming sequences with Trimmomatic and sequence quality</w:t>
      </w:r>
      <w:bookmarkEnd w:id="53"/>
    </w:p>
    <w:p>
      <w:pPr>
        <w:pStyle w:val="FirstParagraph"/>
      </w:pPr>
      <w:r>
        <w:t xml:space="preserve">Before analyzing the sequence data, I inspected the quality of the sequences</w:t>
      </w:r>
      <w:r>
        <w:t xml:space="preserve"> </w:t>
      </w:r>
      <w:r>
        <w:t xml:space="preserve">by reviewing FastQC reports. The graph is divided into green, yellow, and</w:t>
      </w:r>
      <w:r>
        <w:t xml:space="preserve"> </w:t>
      </w:r>
      <w:r>
        <w:t xml:space="preserve">red regions to represent the quality of the sequences and the blue line (mean</w:t>
      </w:r>
      <w:r>
        <w:t xml:space="preserve"> </w:t>
      </w:r>
      <w:r>
        <w:t xml:space="preserve">quality) in every samples remained in green as the indication of great</w:t>
      </w:r>
      <w:r>
        <w:t xml:space="preserve"> </w:t>
      </w:r>
      <w:r>
        <w:t xml:space="preserve">quality of all samples (Figure 7A).</w:t>
      </w:r>
    </w:p>
    <w:p>
      <w:pPr>
        <w:pStyle w:val="BodyText"/>
      </w:pPr>
      <w:r>
        <w:t xml:space="preserve">As mentioned earlier, I manually trimmed the raw sequence data for the</w:t>
      </w:r>
      <w:r>
        <w:t xml:space="preserve"> </w:t>
      </w:r>
      <w:r>
        <w:t xml:space="preserve">cultured samples using the software called Geneious Prime. Contrarily, I ran</w:t>
      </w:r>
      <w:r>
        <w:t xml:space="preserve"> </w:t>
      </w:r>
      <w:r>
        <w:t xml:space="preserve">Trimmomatic in bash to automatically trim the culture-free samples and only</w:t>
      </w:r>
      <w:r>
        <w:t xml:space="preserve"> </w:t>
      </w:r>
      <w:r>
        <w:t xml:space="preserve">a few hundred sequences were removed for all the samples as a result of the</w:t>
      </w:r>
      <w:r>
        <w:t xml:space="preserve"> </w:t>
      </w:r>
      <w:r>
        <w:t xml:space="preserve">great quality of the sequence (Figure 7B).</w:t>
      </w:r>
    </w:p>
    <w:p>
      <w:pPr>
        <w:pStyle w:val="BodyText"/>
      </w:pPr>
      <w:r>
        <w:drawing>
          <wp:inline>
            <wp:extent cx="5334000" cy="300962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ata/images/Seq_quality/Fastq_seq_quality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962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b/>
        </w:rPr>
        <w:t xml:space="preserve">Figure 7A:</w:t>
      </w:r>
      <w:r>
        <w:t xml:space="preserve"> </w:t>
      </w:r>
      <w:r>
        <w:t xml:space="preserve">Quality check of the sequences for each sample using FastQC</w:t>
      </w:r>
      <w:r>
        <w:t xml:space="preserve"> </w:t>
      </w:r>
      <w:r>
        <w:t xml:space="preserve">reports. Y-axis shows the quality score and thge green region represents great</w:t>
      </w:r>
      <w:r>
        <w:t xml:space="preserve"> </w:t>
      </w:r>
      <w:r>
        <w:t xml:space="preserve">quality, reasonable quality in yellow region, and poor quality in red region.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Group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Before trimming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After Trimming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1A</w:t>
            </w:r>
          </w:p>
        </w:tc>
        <w:tc>
          <w:p>
            <w:pPr>
              <w:pStyle w:val="Compact"/>
              <w:jc w:val="center"/>
            </w:pPr>
            <w:r>
              <w:t xml:space="preserve">7951</w:t>
            </w:r>
          </w:p>
        </w:tc>
        <w:tc>
          <w:p>
            <w:pPr>
              <w:pStyle w:val="Compact"/>
              <w:jc w:val="center"/>
            </w:pPr>
            <w:r>
              <w:t xml:space="preserve">7549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1B</w:t>
            </w:r>
          </w:p>
        </w:tc>
        <w:tc>
          <w:p>
            <w:pPr>
              <w:pStyle w:val="Compact"/>
              <w:jc w:val="center"/>
            </w:pPr>
            <w:r>
              <w:t xml:space="preserve">3807</w:t>
            </w:r>
          </w:p>
        </w:tc>
        <w:tc>
          <w:p>
            <w:pPr>
              <w:pStyle w:val="Compact"/>
              <w:jc w:val="center"/>
            </w:pPr>
            <w:r>
              <w:t xml:space="preserve">3638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2A</w:t>
            </w:r>
          </w:p>
        </w:tc>
        <w:tc>
          <w:p>
            <w:pPr>
              <w:pStyle w:val="Compact"/>
              <w:jc w:val="center"/>
            </w:pPr>
            <w:r>
              <w:t xml:space="preserve">13669</w:t>
            </w:r>
          </w:p>
        </w:tc>
        <w:tc>
          <w:p>
            <w:pPr>
              <w:pStyle w:val="Compact"/>
              <w:jc w:val="center"/>
            </w:pPr>
            <w:r>
              <w:t xml:space="preserve">13073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2B</w:t>
            </w:r>
          </w:p>
        </w:tc>
        <w:tc>
          <w:p>
            <w:pPr>
              <w:pStyle w:val="Compact"/>
              <w:jc w:val="center"/>
            </w:pPr>
            <w:r>
              <w:t xml:space="preserve">10640</w:t>
            </w:r>
          </w:p>
        </w:tc>
        <w:tc>
          <w:p>
            <w:pPr>
              <w:pStyle w:val="Compact"/>
              <w:jc w:val="center"/>
            </w:pPr>
            <w:r>
              <w:t xml:space="preserve">10118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3A</w:t>
            </w:r>
          </w:p>
        </w:tc>
        <w:tc>
          <w:p>
            <w:pPr>
              <w:pStyle w:val="Compact"/>
              <w:jc w:val="center"/>
            </w:pPr>
            <w:r>
              <w:t xml:space="preserve">12207</w:t>
            </w:r>
          </w:p>
        </w:tc>
        <w:tc>
          <w:p>
            <w:pPr>
              <w:pStyle w:val="Compact"/>
              <w:jc w:val="center"/>
            </w:pPr>
            <w:r>
              <w:t xml:space="preserve">11598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3B</w:t>
            </w:r>
          </w:p>
        </w:tc>
        <w:tc>
          <w:p>
            <w:pPr>
              <w:pStyle w:val="Compact"/>
              <w:jc w:val="center"/>
            </w:pPr>
            <w:r>
              <w:t xml:space="preserve">10155</w:t>
            </w:r>
          </w:p>
        </w:tc>
        <w:tc>
          <w:p>
            <w:pPr>
              <w:pStyle w:val="Compact"/>
              <w:jc w:val="center"/>
            </w:pPr>
            <w:r>
              <w:t xml:space="preserve">9665</w:t>
            </w:r>
          </w:p>
        </w:tc>
      </w:tr>
    </w:tbl>
    <w:p>
      <w:pPr>
        <w:pStyle w:val="BodyText"/>
      </w:pPr>
      <w:r>
        <w:rPr>
          <w:b/>
        </w:rPr>
        <w:t xml:space="preserve">Figure 7B:</w:t>
      </w:r>
      <w:r>
        <w:t xml:space="preserve"> </w:t>
      </w:r>
      <w:r>
        <w:t xml:space="preserve">Number of sequences before and after removing bad sequences</w:t>
      </w:r>
      <w:r>
        <w:t xml:space="preserve"> </w:t>
      </w:r>
      <w:r>
        <w:t xml:space="preserve">using Trimmomatic.</w:t>
      </w:r>
    </w:p>
    <w:p>
      <w:pPr>
        <w:pStyle w:val="Heading3"/>
      </w:pPr>
      <w:bookmarkStart w:id="55" w:name="command-line-blast-analysis"/>
      <w:r>
        <w:t xml:space="preserve">Command-line BLAST analysis</w:t>
      </w:r>
      <w:bookmarkEnd w:id="55"/>
    </w:p>
    <w:p>
      <w:pPr>
        <w:pStyle w:val="FirstParagraph"/>
      </w:pPr>
      <w:r>
        <w:t xml:space="preserve">I looked into the number of different taxa in each sample and compared</w:t>
      </w:r>
      <w:r>
        <w:t xml:space="preserve"> </w:t>
      </w:r>
      <w:r>
        <w:t xml:space="preserve">between the two treatment groups: samples stayed refrigerated (A) and</w:t>
      </w:r>
      <w:r>
        <w:t xml:space="preserve"> </w:t>
      </w:r>
      <w:r>
        <w:t xml:space="preserve">those stored at room temperature (B). I observed larger number of different</w:t>
      </w:r>
      <w:r>
        <w:t xml:space="preserve"> </w:t>
      </w:r>
      <w:r>
        <w:t xml:space="preserve">taxa in sample #2 and 3 for group B as expected, but the first samples showed</w:t>
      </w:r>
      <w:r>
        <w:t xml:space="preserve"> </w:t>
      </w:r>
      <w:r>
        <w:t xml:space="preserve">lesser number of taxa in group B (Figure 8A).</w:t>
      </w:r>
    </w:p>
    <w:p>
      <w:pPr>
        <w:pStyle w:val="BodyText"/>
      </w:pPr>
      <w:r>
        <w:t xml:space="preserve">In addition, I ran BLAST on bash to find the major taxa of each sample</w:t>
      </w:r>
      <w:r>
        <w:t xml:space="preserve"> </w:t>
      </w:r>
      <w:r>
        <w:t xml:space="preserve">based on the number of sequences. Interestingly, I found bacterias as the</w:t>
      </w:r>
      <w:r>
        <w:t xml:space="preserve"> </w:t>
      </w:r>
      <w:r>
        <w:t xml:space="preserve">major taxa for all samples except for 1A which identified to be</w:t>
      </w:r>
      <w:r>
        <w:t xml:space="preserve"> </w:t>
      </w:r>
      <w:r>
        <w:rPr>
          <w:i/>
        </w:rPr>
        <w:t xml:space="preserve">Bos mutus</w:t>
      </w:r>
      <w:r>
        <w:t xml:space="preserve">, the domestic yak (Figure 8B).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Sample ID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# of different taxa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1A</w:t>
            </w:r>
          </w:p>
        </w:tc>
        <w:tc>
          <w:p>
            <w:pPr>
              <w:pStyle w:val="Compact"/>
              <w:jc w:val="center"/>
            </w:pPr>
            <w:r>
              <w:t xml:space="preserve">25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1B</w:t>
            </w:r>
          </w:p>
        </w:tc>
        <w:tc>
          <w:p>
            <w:pPr>
              <w:pStyle w:val="Compact"/>
              <w:jc w:val="center"/>
            </w:pPr>
            <w:r>
              <w:t xml:space="preserve">22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2A</w:t>
            </w:r>
          </w:p>
        </w:tc>
        <w:tc>
          <w:p>
            <w:pPr>
              <w:pStyle w:val="Compact"/>
              <w:jc w:val="center"/>
            </w:pPr>
            <w:r>
              <w:t xml:space="preserve">21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2B</w:t>
            </w:r>
          </w:p>
        </w:tc>
        <w:tc>
          <w:p>
            <w:pPr>
              <w:pStyle w:val="Compact"/>
              <w:jc w:val="center"/>
            </w:pPr>
            <w:r>
              <w:t xml:space="preserve">30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3A</w:t>
            </w:r>
          </w:p>
        </w:tc>
        <w:tc>
          <w:p>
            <w:pPr>
              <w:pStyle w:val="Compact"/>
              <w:jc w:val="center"/>
            </w:pPr>
            <w:r>
              <w:t xml:space="preserve">15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3B</w:t>
            </w:r>
          </w:p>
        </w:tc>
        <w:tc>
          <w:p>
            <w:pPr>
              <w:pStyle w:val="Compact"/>
              <w:jc w:val="center"/>
            </w:pPr>
            <w:r>
              <w:t xml:space="preserve">24</w:t>
            </w:r>
          </w:p>
        </w:tc>
      </w:tr>
    </w:tbl>
    <w:p>
      <w:pPr>
        <w:pStyle w:val="BodyText"/>
      </w:pPr>
      <w:r>
        <w:rPr>
          <w:b/>
        </w:rPr>
        <w:t xml:space="preserve">Figure 8A:</w:t>
      </w:r>
      <w:r>
        <w:t xml:space="preserve"> </w:t>
      </w:r>
      <w:r>
        <w:t xml:space="preserve">Number of different taxa from each sample. The letter A</w:t>
      </w:r>
      <w:r>
        <w:t xml:space="preserve"> </w:t>
      </w:r>
      <w:r>
        <w:t xml:space="preserve">corresponds to the refrigerated storage treatment group and B indicates the</w:t>
      </w:r>
      <w:r>
        <w:t xml:space="preserve"> </w:t>
      </w:r>
      <w:r>
        <w:t xml:space="preserve">room temperature storage treatment group.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Sample ID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Major Taxa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1A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Bos mutus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1B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Carnobacterium divergens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2A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Lactobacillus algidus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2B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Carnobacterium divergens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3A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Leuconostoc gelidum</w:t>
            </w:r>
            <w:r>
              <w:t xml:space="preserve"> </w:t>
            </w:r>
            <w:r>
              <w:t xml:space="preserve">subsp.</w:t>
            </w:r>
            <w:r>
              <w:t xml:space="preserve"> </w:t>
            </w:r>
            <w:r>
              <w:rPr>
                <w:i/>
              </w:rPr>
              <w:t xml:space="preserve">gasicomitatum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3B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Lelliottia amnigena</w:t>
            </w:r>
          </w:p>
        </w:tc>
      </w:tr>
    </w:tbl>
    <w:p>
      <w:pPr>
        <w:pStyle w:val="BodyText"/>
      </w:pPr>
      <w:r>
        <w:rPr>
          <w:b/>
        </w:rPr>
        <w:t xml:space="preserve">Figure 8B:</w:t>
      </w:r>
      <w:r>
        <w:t xml:space="preserve"> </w:t>
      </w:r>
      <w:r>
        <w:t xml:space="preserve">Major taxa for each sample.</w:t>
      </w:r>
    </w:p>
    <w:p>
      <w:pPr>
        <w:pStyle w:val="Heading1"/>
      </w:pPr>
      <w:bookmarkStart w:id="56" w:name="discussion"/>
      <w:r>
        <w:t xml:space="preserve">Discussion</w:t>
      </w:r>
      <w:bookmarkEnd w:id="56"/>
    </w:p>
    <w:p>
      <w:pPr>
        <w:pStyle w:val="Heading2"/>
      </w:pPr>
      <w:bookmarkStart w:id="57" w:name="analysis-of-cultured-samples"/>
      <w:r>
        <w:t xml:space="preserve">Analysis of cultured-samples</w:t>
      </w:r>
      <w:bookmarkEnd w:id="57"/>
    </w:p>
    <w:p>
      <w:pPr>
        <w:pStyle w:val="FirstParagraph"/>
      </w:pPr>
      <w:r>
        <w:t xml:space="preserve">I questioned a level of microbial communities in ground beef under different</w:t>
      </w:r>
      <w:r>
        <w:t xml:space="preserve"> </w:t>
      </w:r>
      <w:r>
        <w:t xml:space="preserve">storage conditions and expected to observe more diverse communities from the</w:t>
      </w:r>
      <w:r>
        <w:t xml:space="preserve"> </w:t>
      </w:r>
      <w:r>
        <w:t xml:space="preserve">samples stored at room temperature than refrigerated samples. However, the</w:t>
      </w:r>
      <w:r>
        <w:t xml:space="preserve"> </w:t>
      </w:r>
      <w:r>
        <w:t xml:space="preserve">petri dishes of the room temperature samples were covered by bacterial lawn</w:t>
      </w:r>
      <w:r>
        <w:t xml:space="preserve"> </w:t>
      </w:r>
      <w:r>
        <w:t xml:space="preserve">instead of forming colonies and no distinct morphotypes were observed</w:t>
      </w:r>
      <w:r>
        <w:t xml:space="preserve"> </w:t>
      </w:r>
      <w:r>
        <w:t xml:space="preserve">(Figure 2A).</w:t>
      </w:r>
    </w:p>
    <w:p>
      <w:pPr>
        <w:pStyle w:val="BodyText"/>
      </w:pPr>
      <w:r>
        <w:t xml:space="preserve">The factor that might have influenced the bacterial lawn in all</w:t>
      </w:r>
      <w:r>
        <w:t xml:space="preserve"> </w:t>
      </w:r>
      <w:r>
        <w:t xml:space="preserve">room temperature samples can be the long duration of swabbing on the</w:t>
      </w:r>
      <w:r>
        <w:t xml:space="preserve"> </w:t>
      </w:r>
      <w:r>
        <w:t xml:space="preserve">surface when subsampled. The highly concentrated stock sample could be the</w:t>
      </w:r>
      <w:r>
        <w:t xml:space="preserve"> </w:t>
      </w:r>
      <w:r>
        <w:t xml:space="preserve">possible cause of the thick bacterial lawn even though it was diluted down</w:t>
      </w:r>
      <w:r>
        <w:t xml:space="preserve"> </w:t>
      </w:r>
      <w:r>
        <w:t xml:space="preserve">to 1:100. The boxplots in Figure 3A and 3B were displaying data from</w:t>
      </w:r>
      <w:r>
        <w:t xml:space="preserve"> </w:t>
      </w:r>
      <w:r>
        <w:t xml:space="preserve">skewed results due to the unreliable outcomes from room temperature samples.</w:t>
      </w:r>
      <w:r>
        <w:t xml:space="preserve"> </w:t>
      </w:r>
      <w:r>
        <w:t xml:space="preserve">A different approach to enhance the results could be by using streaking</w:t>
      </w:r>
      <w:r>
        <w:t xml:space="preserve"> </w:t>
      </w:r>
      <w:r>
        <w:t xml:space="preserve">method and/or shortening the time when swabbing the sample on the surface.</w:t>
      </w:r>
    </w:p>
    <w:p>
      <w:pPr>
        <w:pStyle w:val="BodyText"/>
      </w:pPr>
      <w:r>
        <w:t xml:space="preserve">The gel image from electrophoresis showed no bands for Sample #5 and #6</w:t>
      </w:r>
      <w:r>
        <w:t xml:space="preserve"> </w:t>
      </w:r>
      <w:r>
        <w:t xml:space="preserve">which corresponded to the failed Sanger sequencing data, and the faded band</w:t>
      </w:r>
      <w:r>
        <w:t xml:space="preserve"> </w:t>
      </w:r>
      <w:r>
        <w:t xml:space="preserve">for Sample #3 corresponded to the seemingly failed Sanger sequencing data.</w:t>
      </w:r>
      <w:r>
        <w:t xml:space="preserve"> </w:t>
      </w:r>
      <w:r>
        <w:t xml:space="preserve">Some possible speculations that influenced no bands for Sample #5 and #6</w:t>
      </w:r>
      <w:r>
        <w:t xml:space="preserve"> </w:t>
      </w:r>
      <w:r>
        <w:t xml:space="preserve">could be contamination of tubes and/or pipetting errors.</w:t>
      </w:r>
    </w:p>
    <w:p>
      <w:pPr>
        <w:pStyle w:val="BodyText"/>
      </w:pPr>
      <w:r>
        <w:t xml:space="preserve">4 different identifications were generated from BLAST for Sample</w:t>
      </w:r>
      <w:r>
        <w:t xml:space="preserve"> </w:t>
      </w:r>
      <w:r>
        <w:t xml:space="preserve">#1, 2, 3, and 4:</w:t>
      </w:r>
      <w:r>
        <w:t xml:space="preserve"> </w:t>
      </w:r>
      <w:r>
        <w:rPr>
          <w:i/>
        </w:rPr>
        <w:t xml:space="preserve">Acinetobacter baumannii</w:t>
      </w:r>
      <w:r>
        <w:t xml:space="preserve">,</w:t>
      </w:r>
      <w:r>
        <w:t xml:space="preserve"> </w:t>
      </w:r>
      <w:r>
        <w:rPr>
          <w:i/>
        </w:rPr>
        <w:t xml:space="preserve">Hafnia paralvei</w:t>
      </w:r>
      <w:r>
        <w:t xml:space="preserve">,</w:t>
      </w:r>
      <w:r>
        <w:t xml:space="preserve"> </w:t>
      </w:r>
      <w:r>
        <w:rPr>
          <w:i/>
        </w:rPr>
        <w:t xml:space="preserve">Kocuria rhizophila</w:t>
      </w:r>
      <w:r>
        <w:t xml:space="preserve">, and</w:t>
      </w:r>
      <w:r>
        <w:t xml:space="preserve"> </w:t>
      </w:r>
      <w:r>
        <w:rPr>
          <w:i/>
        </w:rPr>
        <w:t xml:space="preserve">Staphylococcus saprophyticus</w:t>
      </w:r>
      <w:r>
        <w:t xml:space="preserve"> </w:t>
      </w:r>
      <w:r>
        <w:t xml:space="preserve">respectively</w:t>
      </w:r>
      <w:r>
        <w:t xml:space="preserve"> </w:t>
      </w:r>
      <w:r>
        <w:t xml:space="preserve">(Figure 5). All of the samples except for the complete failures was</w:t>
      </w:r>
      <w:r>
        <w:t xml:space="preserve"> </w:t>
      </w:r>
      <w:r>
        <w:t xml:space="preserve">identified with strong confidence to support the results even for</w:t>
      </w:r>
      <w:r>
        <w:t xml:space="preserve"> </w:t>
      </w:r>
      <w:r>
        <w:t xml:space="preserve">the Sample #3 which showed a faded band on the gel and provided the</w:t>
      </w:r>
      <w:r>
        <w:t xml:space="preserve"> </w:t>
      </w:r>
      <w:r>
        <w:t xml:space="preserve">seemingly failed result from Sanger sequencing data. The results exhibited</w:t>
      </w:r>
      <w:r>
        <w:t xml:space="preserve"> </w:t>
      </w:r>
      <w:r>
        <w:t xml:space="preserve">high percent identity and query coverage values with exceptionally small</w:t>
      </w:r>
      <w:r>
        <w:t xml:space="preserve"> </w:t>
      </w:r>
      <w:r>
        <w:t xml:space="preserve">to zero E-values. However, the phylogenic results that grouped Sample #1</w:t>
      </w:r>
      <w:r>
        <w:t xml:space="preserve"> </w:t>
      </w:r>
      <w:r>
        <w:t xml:space="preserve">and #2 did not match with BLAST results.</w:t>
      </w:r>
    </w:p>
    <w:p>
      <w:pPr>
        <w:pStyle w:val="Heading2"/>
      </w:pPr>
      <w:bookmarkStart w:id="58" w:name="analysis-of-culture-free-samples"/>
      <w:r>
        <w:t xml:space="preserve">Analysis of culture-free samples</w:t>
      </w:r>
      <w:bookmarkEnd w:id="58"/>
    </w:p>
    <w:p>
      <w:pPr>
        <w:pStyle w:val="FirstParagraph"/>
      </w:pPr>
      <w:r>
        <w:t xml:space="preserve">There are commonly known mirobial groups that contribute to spoil meat even</w:t>
      </w:r>
      <w:r>
        <w:t xml:space="preserve"> </w:t>
      </w:r>
      <w:r>
        <w:t xml:space="preserve">in refrigerated condition and they were identified across from all samples as</w:t>
      </w:r>
      <w:r>
        <w:t xml:space="preserve"> </w:t>
      </w:r>
      <w:r>
        <w:t xml:space="preserve">expected. Those microbes include:</w:t>
      </w:r>
      <w:r>
        <w:t xml:space="preserve"> </w:t>
      </w:r>
      <w:r>
        <w:rPr>
          <w:i/>
        </w:rPr>
        <w:t xml:space="preserve">Serratia</w:t>
      </w:r>
      <w:r>
        <w:t xml:space="preserve">,</w:t>
      </w:r>
      <w:r>
        <w:t xml:space="preserve"> </w:t>
      </w:r>
      <w:r>
        <w:rPr>
          <w:i/>
        </w:rPr>
        <w:t xml:space="preserve">Enterobacter</w:t>
      </w:r>
      <w:r>
        <w:t xml:space="preserve">,</w:t>
      </w:r>
      <w:r>
        <w:t xml:space="preserve"> </w:t>
      </w:r>
      <w:r>
        <w:rPr>
          <w:i/>
        </w:rPr>
        <w:t xml:space="preserve">Pantoea</w:t>
      </w:r>
      <w:r>
        <w:t xml:space="preserve">,</w:t>
      </w:r>
      <w:r>
        <w:t xml:space="preserve"> </w:t>
      </w:r>
      <w:r>
        <w:rPr>
          <w:i/>
        </w:rPr>
        <w:t xml:space="preserve">Proteus</w:t>
      </w:r>
      <w:r>
        <w:t xml:space="preserve">,</w:t>
      </w:r>
      <w:r>
        <w:t xml:space="preserve"> </w:t>
      </w:r>
      <w:r>
        <w:rPr>
          <w:i/>
        </w:rPr>
        <w:t xml:space="preserve">Hafnia</w:t>
      </w:r>
      <w:r>
        <w:t xml:space="preserve">, and lactic acid bacteria such as</w:t>
      </w:r>
      <w:r>
        <w:t xml:space="preserve"> </w:t>
      </w:r>
      <w:r>
        <w:rPr>
          <w:i/>
        </w:rPr>
        <w:t xml:space="preserve">Lactobacillus</w:t>
      </w:r>
      <w:r>
        <w:t xml:space="preserve"> </w:t>
      </w:r>
      <w:r>
        <w:t xml:space="preserve">and</w:t>
      </w:r>
      <w:r>
        <w:t xml:space="preserve"> </w:t>
      </w:r>
      <w:r>
        <w:rPr>
          <w:i/>
        </w:rPr>
        <w:t xml:space="preserve">Carnobacterium</w:t>
      </w:r>
      <w:r>
        <w:t xml:space="preserve"> </w:t>
      </w:r>
      <w:r>
        <w:t xml:space="preserve">(Ercolini</w:t>
      </w:r>
      <w:r>
        <w:t xml:space="preserve"> </w:t>
      </w:r>
      <w:r>
        <w:rPr>
          <w:i/>
        </w:rPr>
        <w:t xml:space="preserve">et al.</w:t>
      </w:r>
      <w:r>
        <w:t xml:space="preserve">, 2006)</w:t>
      </w:r>
      <w:r>
        <w:t xml:space="preserve">. Among the 4 identifications</w:t>
      </w:r>
      <w:r>
        <w:t xml:space="preserve"> </w:t>
      </w:r>
      <w:r>
        <w:t xml:space="preserve">observed from cultured samples,</w:t>
      </w:r>
      <w:r>
        <w:t xml:space="preserve"> </w:t>
      </w:r>
      <w:r>
        <w:rPr>
          <w:i/>
        </w:rPr>
        <w:t xml:space="preserve">Acinetobacter</w:t>
      </w:r>
      <w:r>
        <w:t xml:space="preserve">,</w:t>
      </w:r>
      <w:r>
        <w:t xml:space="preserve"> </w:t>
      </w:r>
      <w:r>
        <w:rPr>
          <w:i/>
        </w:rPr>
        <w:t xml:space="preserve">Hafnia</w:t>
      </w:r>
      <w:r>
        <w:t xml:space="preserve">, and</w:t>
      </w:r>
      <w:r>
        <w:t xml:space="preserve"> </w:t>
      </w:r>
      <w:r>
        <w:rPr>
          <w:i/>
        </w:rPr>
        <w:t xml:space="preserve">Staphylococcus</w:t>
      </w:r>
      <w:r>
        <w:t xml:space="preserve"> </w:t>
      </w:r>
      <w:r>
        <w:t xml:space="preserve">groups were also identified</w:t>
      </w:r>
      <w:r>
        <w:t xml:space="preserve"> </w:t>
      </w:r>
      <w:r>
        <w:t xml:space="preserve">from culture-free samples and confirmed the matches between culture-based and</w:t>
      </w:r>
      <w:r>
        <w:t xml:space="preserve"> </w:t>
      </w:r>
      <w:r>
        <w:t xml:space="preserve">culture-free samples using Sanger sequences and Illumina sequences.</w:t>
      </w:r>
      <w:r>
        <w:t xml:space="preserve"> </w:t>
      </w:r>
      <w:r>
        <w:t xml:space="preserve">However, no matches for</w:t>
      </w:r>
      <w:r>
        <w:t xml:space="preserve"> </w:t>
      </w:r>
      <w:r>
        <w:rPr>
          <w:i/>
        </w:rPr>
        <w:t xml:space="preserve">Kocuria rhizophila</w:t>
      </w:r>
      <w:r>
        <w:t xml:space="preserve"> </w:t>
      </w:r>
      <w:r>
        <w:t xml:space="preserve">from sample #3 of cultured sample</w:t>
      </w:r>
      <w:r>
        <w:t xml:space="preserve"> </w:t>
      </w:r>
      <w:r>
        <w:t xml:space="preserve">(Figure 5) was found in culture-free sample.</w:t>
      </w:r>
    </w:p>
    <w:p>
      <w:pPr>
        <w:pStyle w:val="BodyText"/>
      </w:pPr>
      <w:r>
        <w:t xml:space="preserve">Initially, I hypothesized to see more developed microorganism communities</w:t>
      </w:r>
      <w:r>
        <w:t xml:space="preserve"> </w:t>
      </w:r>
      <w:r>
        <w:t xml:space="preserve">from the samples stored at room temperature than the ones kept refrigerated</w:t>
      </w:r>
      <w:r>
        <w:t xml:space="preserve"> </w:t>
      </w:r>
      <w:r>
        <w:t xml:space="preserve">because the temperature conditions play a critical role in meat spoilage</w:t>
      </w:r>
      <w:r>
        <w:t xml:space="preserve"> </w:t>
      </w:r>
      <w:r>
        <w:t xml:space="preserve">(Dohlen</w:t>
      </w:r>
      <w:r>
        <w:t xml:space="preserve"> </w:t>
      </w:r>
      <w:r>
        <w:rPr>
          <w:i/>
        </w:rPr>
        <w:t xml:space="preserve">et al.</w:t>
      </w:r>
      <w:r>
        <w:t xml:space="preserve">, 2017)</w:t>
      </w:r>
      <w:r>
        <w:t xml:space="preserve">. Two brands out of three exhibited to have more number</w:t>
      </w:r>
      <w:r>
        <w:t xml:space="preserve"> </w:t>
      </w:r>
      <w:r>
        <w:t xml:space="preserve">of different taxa when it was stored at room temperature while the first</w:t>
      </w:r>
      <w:r>
        <w:t xml:space="preserve"> </w:t>
      </w:r>
      <w:r>
        <w:t xml:space="preserve">sample, Teva kosher foods from Trader Joe’s, showed less taxa from the room</w:t>
      </w:r>
      <w:r>
        <w:t xml:space="preserve"> </w:t>
      </w:r>
      <w:r>
        <w:t xml:space="preserve">temperature storage condition (Figure 8A). Possible justification for</w:t>
      </w:r>
      <w:r>
        <w:t xml:space="preserve"> </w:t>
      </w:r>
      <w:r>
        <w:t xml:space="preserve">this unexpected results could be drived from the shorter length of the</w:t>
      </w:r>
      <w:r>
        <w:t xml:space="preserve"> </w:t>
      </w:r>
      <w:r>
        <w:t xml:space="preserve">sequences as sample 1B have only 3,638 sequences after trimming</w:t>
      </w:r>
      <w:r>
        <w:t xml:space="preserve"> </w:t>
      </w:r>
      <w:r>
        <w:t xml:space="preserve">while other samples have around 10,000 sequences (Figure 7B).</w:t>
      </w:r>
      <w:r>
        <w:t xml:space="preserve"> </w:t>
      </w:r>
      <w:r>
        <w:t xml:space="preserve">In fact, treatment group B samples in all 3 brands have shorter</w:t>
      </w:r>
      <w:r>
        <w:t xml:space="preserve"> </w:t>
      </w:r>
      <w:r>
        <w:t xml:space="preserve">sequences than treatment group A, but the length of the sample 1B is</w:t>
      </w:r>
      <w:r>
        <w:t xml:space="preserve"> </w:t>
      </w:r>
      <w:r>
        <w:t xml:space="preserve">especially shorter.</w:t>
      </w:r>
    </w:p>
    <w:p>
      <w:pPr>
        <w:pStyle w:val="Heading1"/>
      </w:pPr>
      <w:bookmarkStart w:id="59" w:name="sources-cited"/>
      <w:r>
        <w:t xml:space="preserve">Sources Cited</w:t>
      </w:r>
      <w:bookmarkEnd w:id="59"/>
    </w:p>
    <w:bookmarkStart w:id="63" w:name="refs"/>
    <w:bookmarkStart w:id="60" w:name="ref-dave2011meat"/>
    <w:p>
      <w:pPr>
        <w:pStyle w:val="Bibliography"/>
      </w:pPr>
      <w:r>
        <w:t xml:space="preserve">Dave,D. and Ghaly,A.E. (2011) Meat spoilage mechanisms and preservation techniques: A critical review.</w:t>
      </w:r>
      <w:r>
        <w:t xml:space="preserve"> </w:t>
      </w:r>
      <w:r>
        <w:rPr>
          <w:i/>
        </w:rPr>
        <w:t xml:space="preserve">American Journal of Agricultural and Biological Sciences</w:t>
      </w:r>
      <w:r>
        <w:t xml:space="preserve">,</w:t>
      </w:r>
      <w:r>
        <w:t xml:space="preserve"> </w:t>
      </w:r>
      <w:r>
        <w:rPr>
          <w:b/>
        </w:rPr>
        <w:t xml:space="preserve">6</w:t>
      </w:r>
      <w:r>
        <w:t xml:space="preserve">, 486–510.</w:t>
      </w:r>
    </w:p>
    <w:bookmarkEnd w:id="60"/>
    <w:bookmarkStart w:id="61" w:name="ref-dohlen2017effect"/>
    <w:p>
      <w:pPr>
        <w:pStyle w:val="Bibliography"/>
      </w:pPr>
      <w:r>
        <w:t xml:space="preserve">Dohlen,S.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(2017) Effect of different packaging materials containing poly-[2-(tert-butylamino) methylstyrene] on the growth of spoilage and pathogenic bacteria on fresh meat.</w:t>
      </w:r>
      <w:r>
        <w:t xml:space="preserve"> </w:t>
      </w:r>
      <w:r>
        <w:rPr>
          <w:i/>
        </w:rPr>
        <w:t xml:space="preserve">International journal of food microbiology</w:t>
      </w:r>
      <w:r>
        <w:t xml:space="preserve">,</w:t>
      </w:r>
      <w:r>
        <w:t xml:space="preserve"> </w:t>
      </w:r>
      <w:r>
        <w:rPr>
          <w:b/>
        </w:rPr>
        <w:t xml:space="preserve">257</w:t>
      </w:r>
      <w:r>
        <w:t xml:space="preserve">, 91–100.</w:t>
      </w:r>
    </w:p>
    <w:bookmarkEnd w:id="61"/>
    <w:bookmarkStart w:id="62" w:name="ref-ercolini2006changes"/>
    <w:p>
      <w:pPr>
        <w:pStyle w:val="Bibliography"/>
      </w:pPr>
      <w:r>
        <w:t xml:space="preserve">Ercolini,D.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(2006) Changes in the spoilage-related microbiota of beef during refrigerated storage under different packaging conditions.</w:t>
      </w:r>
      <w:r>
        <w:t xml:space="preserve"> </w:t>
      </w:r>
      <w:r>
        <w:rPr>
          <w:i/>
        </w:rPr>
        <w:t xml:space="preserve">Appl. Environ. Microbiol.</w:t>
      </w:r>
      <w:r>
        <w:t xml:space="preserve">,</w:t>
      </w:r>
      <w:r>
        <w:t xml:space="preserve"> </w:t>
      </w:r>
      <w:r>
        <w:rPr>
          <w:b/>
        </w:rPr>
        <w:t xml:space="preserve">72</w:t>
      </w:r>
      <w:r>
        <w:t xml:space="preserve">, 4663–4671.</w:t>
      </w:r>
    </w:p>
    <w:bookmarkEnd w:id="62"/>
    <w:bookmarkEnd w:id="63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170cd2de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abstractNum w:abstractNumId="990">
    <w:nsid w:val="2c1ae401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num w:numId="1000">
    <w:abstractNumId w:val="990"/>
  </w:num>
  <w:num w:numId="1000">
    <w:abstractNumId w:val="99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276"/>
  <w:style w:type="paragraph" w:default="1" w:styleId="Normal">
    <w:name w:val="Normal"/>
    <w:qFormat/>
  </w:style>
  <w:style w:type="paragraph" w:styleId="BodyText">
    <w:name w:val="Body Text"/>
    <w:basedOn w:val="Normal"/>
    <w:link w:val="BodyTextChar"/>
    <w:pPr>
      <w:spacing w:before="180" w:after="180"/>
    </w:pPr>
    <w:qFormat/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keepNext/>
      <w:keepLines/>
      <w:spacing w:before="240" w:after="240"/>
      <w:jc w:val="center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next w:val="Bibliography"/>
    <w:qFormat/>
    <w:pPr/>
    <w:rPr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color w:val="4F81BD" w:themeColor="accent1"/>
      <w:sz w:val="24"/>
      <w:szCs w:val="24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/>
      <w:iCs/>
      <w:color w:val="4F81BD" w:themeColor="accent1"/>
      <w:sz w:val="24"/>
      <w:szCs w:val="24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7">
    <w:name w:val="Heading 7"/>
    <w:basedOn w:val="Normal"/>
    <w:next w:val="BodyText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8">
    <w:name w:val="Heading 8"/>
    <w:basedOn w:val="Normal"/>
    <w:next w:val="BodyText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9">
    <w:name w:val="Heading 9"/>
    <w:basedOn w:val="Normal"/>
    <w:next w:val="BodyText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firstLine="0"/>
    </w:pPr>
    <w:rPr>
      <w:rFonts w:asciiTheme="majorHAnsi" w:eastAsiaTheme="majorEastAsia" w:hAnsiTheme="majorHAnsi" w:cstheme="majorBidi"/>
      <w:bCs/>
      <w:sz w:val="20"/>
      <w:szCs w:val="20"/>
    </w:rPr>
  </w:style>
  <w:style w:type="paragraph" w:styleId="FootnoteText">
    <w:name w:val="Footnote Text"/>
    <w:basedOn w:val="Normal"/>
    <w:next w:val="FootnoteText"/>
    <w:uiPriority w:val="9"/>
    <w:unhideWhenUsed/>
    <w:qFormat/>
  </w:style>
  <w:style w:type="character" w:default="1" w:styleId="DefaultParagraphFont">
    <w:name w:val="Default Paragraph Font"/>
    <w:semiHidden/>
    <w:unhideWhenUsed/>
  </w:style>
  <w:style w:type="table" w:default="1" w:styleId="Table">
    <w:name w:val="Table"/>
    <w:basedOn w:val="TableNormal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BodyTextChar"/>
    <w:pPr>
      <w:spacing w:before="0"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BodyTextChar">
    <w:name w:val="Body Text Char"/>
    <w:basedOn w:val="DefaultParagraphFont"/>
    <w:link w:val="BodyText"/>
  </w:style>
  <w:style w:type="character" w:customStyle="1" w:styleId="VerbatimChar">
    <w:name w:val="Verbatim Char"/>
    <w:basedOn w:val="BodyTextChar"/>
    <w:rPr>
      <w:rFonts w:ascii="Consolas" w:hAnsi="Consolas"/>
      <w:sz w:val="22"/>
    </w:rPr>
  </w:style>
  <w:style w:type="character" w:styleId="FootnoteReference">
    <w:name w:val="Footnote Reference"/>
    <w:basedOn w:val="BodyTextChar"/>
    <w:rPr>
      <w:vertAlign w:val="superscript"/>
    </w:rPr>
  </w:style>
  <w:style w:type="character" w:styleId="Hyperlink">
    <w:name w:val="Hyperlink"/>
    <w:basedOn w:val="BodyText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off"/>
      <w:shd w:val="clear" w:fill="f8f8f8"/>
    </w:pPr>
  </w:style>
  <w:style w:type="character" w:customStyle="1" w:styleId="KeywordTok">
    <w:name w:val="KeywordTok"/>
    <w:basedOn w:val="VerbatimChar"/>
    <w:rPr>
      <w:color w:val="204a87"/>
      <w:shd w:val="clear" w:fill="f8f8f8"/>
      <w:b/>
    </w:rPr>
  </w:style>
  <w:style w:type="character" w:customStyle="1" w:styleId="DataTypeTok">
    <w:name w:val="DataTypeTok"/>
    <w:basedOn w:val="VerbatimChar"/>
    <w:rPr>
      <w:color w:val="204a87"/>
      <w:shd w:val="clear" w:fill="f8f8f8"/>
    </w:rPr>
  </w:style>
  <w:style w:type="character" w:customStyle="1" w:styleId="DecValTok">
    <w:name w:val="DecValTok"/>
    <w:basedOn w:val="VerbatimChar"/>
    <w:rPr>
      <w:color w:val="0000cf"/>
      <w:shd w:val="clear" w:fill="f8f8f8"/>
    </w:rPr>
  </w:style>
  <w:style w:type="character" w:customStyle="1" w:styleId="BaseNTok">
    <w:name w:val="BaseNTok"/>
    <w:basedOn w:val="VerbatimChar"/>
    <w:rPr>
      <w:color w:val="0000cf"/>
      <w:shd w:val="clear" w:fill="f8f8f8"/>
    </w:rPr>
  </w:style>
  <w:style w:type="character" w:customStyle="1" w:styleId="FloatTok">
    <w:name w:val="FloatTok"/>
    <w:basedOn w:val="VerbatimChar"/>
    <w:rPr>
      <w:color w:val="0000cf"/>
      <w:shd w:val="clear" w:fill="f8f8f8"/>
    </w:rPr>
  </w:style>
  <w:style w:type="character" w:customStyle="1" w:styleId="ConstantTok">
    <w:name w:val="ConstantTok"/>
    <w:basedOn w:val="VerbatimChar"/>
    <w:rPr>
      <w:color w:val="000000"/>
      <w:shd w:val="clear" w:fill="f8f8f8"/>
    </w:rPr>
  </w:style>
  <w:style w:type="character" w:customStyle="1" w:styleId="CharTok">
    <w:name w:val="CharTok"/>
    <w:basedOn w:val="VerbatimChar"/>
    <w:rPr>
      <w:color w:val="4e9a06"/>
      <w:shd w:val="clear" w:fill="f8f8f8"/>
    </w:rPr>
  </w:style>
  <w:style w:type="character" w:customStyle="1" w:styleId="SpecialCharTok">
    <w:name w:val="SpecialCharTok"/>
    <w:basedOn w:val="VerbatimChar"/>
    <w:rPr>
      <w:color w:val="000000"/>
      <w:shd w:val="clear" w:fill="f8f8f8"/>
    </w:rPr>
  </w:style>
  <w:style w:type="character" w:customStyle="1" w:styleId="StringTok">
    <w:name w:val="StringTok"/>
    <w:basedOn w:val="VerbatimChar"/>
    <w:rPr>
      <w:color w:val="4e9a06"/>
      <w:shd w:val="clear" w:fill="f8f8f8"/>
    </w:rPr>
  </w:style>
  <w:style w:type="character" w:customStyle="1" w:styleId="VerbatimStringTok">
    <w:name w:val="VerbatimStringTok"/>
    <w:basedOn w:val="VerbatimChar"/>
    <w:rPr>
      <w:color w:val="4e9a06"/>
      <w:shd w:val="clear" w:fill="f8f8f8"/>
    </w:rPr>
  </w:style>
  <w:style w:type="character" w:customStyle="1" w:styleId="SpecialStringTok">
    <w:name w:val="SpecialStringTok"/>
    <w:basedOn w:val="VerbatimChar"/>
    <w:rPr>
      <w:color w:val="4e9a06"/>
      <w:shd w:val="clear" w:fill="f8f8f8"/>
    </w:rPr>
  </w:style>
  <w:style w:type="character" w:customStyle="1" w:styleId="ImportTok">
    <w:name w:val="ImportTok"/>
    <w:basedOn w:val="VerbatimChar"/>
    <w:rPr>
      <w:shd w:val="clear" w:fill="f8f8f8"/>
    </w:rPr>
  </w:style>
  <w:style w:type="character" w:customStyle="1" w:styleId="CommentTok">
    <w:name w:val="CommentTok"/>
    <w:basedOn w:val="VerbatimChar"/>
    <w:rPr>
      <w:color w:val="8f5902"/>
      <w:shd w:val="clear" w:fill="f8f8f8"/>
      <w:i/>
    </w:rPr>
  </w:style>
  <w:style w:type="character" w:customStyle="1" w:styleId="DocumentationTok">
    <w:name w:val="DocumentationTok"/>
    <w:basedOn w:val="VerbatimChar"/>
    <w:rPr>
      <w:color w:val="8f5902"/>
      <w:shd w:val="clear" w:fill="f8f8f8"/>
      <w:b/>
      <w:i/>
    </w:rPr>
  </w:style>
  <w:style w:type="character" w:customStyle="1" w:styleId="AnnotationTok">
    <w:name w:val="AnnotationTok"/>
    <w:basedOn w:val="VerbatimChar"/>
    <w:rPr>
      <w:color w:val="8f5902"/>
      <w:shd w:val="clear" w:fill="f8f8f8"/>
      <w:b/>
      <w:i/>
    </w:rPr>
  </w:style>
  <w:style w:type="character" w:customStyle="1" w:styleId="CommentVarTok">
    <w:name w:val="CommentVarTok"/>
    <w:basedOn w:val="VerbatimChar"/>
    <w:rPr>
      <w:color w:val="8f5902"/>
      <w:shd w:val="clear" w:fill="f8f8f8"/>
      <w:b/>
      <w:i/>
    </w:rPr>
  </w:style>
  <w:style w:type="character" w:customStyle="1" w:styleId="OtherTok">
    <w:name w:val="OtherTok"/>
    <w:basedOn w:val="VerbatimChar"/>
    <w:rPr>
      <w:color w:val="8f5902"/>
      <w:shd w:val="clear" w:fill="f8f8f8"/>
    </w:rPr>
  </w:style>
  <w:style w:type="character" w:customStyle="1" w:styleId="FunctionTok">
    <w:name w:val="FunctionTok"/>
    <w:basedOn w:val="VerbatimChar"/>
    <w:rPr>
      <w:color w:val="000000"/>
      <w:shd w:val="clear" w:fill="f8f8f8"/>
    </w:rPr>
  </w:style>
  <w:style w:type="character" w:customStyle="1" w:styleId="VariableTok">
    <w:name w:val="VariableTok"/>
    <w:basedOn w:val="VerbatimChar"/>
    <w:rPr>
      <w:color w:val="000000"/>
      <w:shd w:val="clear" w:fill="f8f8f8"/>
    </w:rPr>
  </w:style>
  <w:style w:type="character" w:customStyle="1" w:styleId="ControlFlowTok">
    <w:name w:val="ControlFlowTok"/>
    <w:basedOn w:val="VerbatimChar"/>
    <w:rPr>
      <w:color w:val="204a87"/>
      <w:shd w:val="clear" w:fill="f8f8f8"/>
      <w:b/>
    </w:rPr>
  </w:style>
  <w:style w:type="character" w:customStyle="1" w:styleId="OperatorTok">
    <w:name w:val="OperatorTok"/>
    <w:basedOn w:val="VerbatimChar"/>
    <w:rPr>
      <w:color w:val="ce5c00"/>
      <w:shd w:val="clear" w:fill="f8f8f8"/>
      <w:b/>
    </w:rPr>
  </w:style>
  <w:style w:type="character" w:customStyle="1" w:styleId="BuiltInTok">
    <w:name w:val="BuiltInTok"/>
    <w:basedOn w:val="VerbatimChar"/>
    <w:rPr>
      <w:shd w:val="clear" w:fill="f8f8f8"/>
    </w:rPr>
  </w:style>
  <w:style w:type="character" w:customStyle="1" w:styleId="ExtensionTok">
    <w:name w:val="ExtensionTok"/>
    <w:basedOn w:val="VerbatimChar"/>
    <w:rPr>
      <w:shd w:val="clear" w:fill="f8f8f8"/>
    </w:rPr>
  </w:style>
  <w:style w:type="character" w:customStyle="1" w:styleId="PreprocessorTok">
    <w:name w:val="PreprocessorTok"/>
    <w:basedOn w:val="VerbatimChar"/>
    <w:rPr>
      <w:color w:val="8f5902"/>
      <w:shd w:val="clear" w:fill="f8f8f8"/>
      <w:i/>
    </w:rPr>
  </w:style>
  <w:style w:type="character" w:customStyle="1" w:styleId="AttributeTok">
    <w:name w:val="AttributeTok"/>
    <w:basedOn w:val="VerbatimChar"/>
    <w:rPr>
      <w:color w:val="c4a000"/>
      <w:shd w:val="clear" w:fill="f8f8f8"/>
    </w:rPr>
  </w:style>
  <w:style w:type="character" w:customStyle="1" w:styleId="RegionMarkerTok">
    <w:name w:val="RegionMarkerTok"/>
    <w:basedOn w:val="VerbatimChar"/>
    <w:rPr>
      <w:shd w:val="clear" w:fill="f8f8f8"/>
    </w:rPr>
  </w:style>
  <w:style w:type="character" w:customStyle="1" w:styleId="InformationTok">
    <w:name w:val="InformationTok"/>
    <w:basedOn w:val="VerbatimChar"/>
    <w:rPr>
      <w:color w:val="8f5902"/>
      <w:shd w:val="clear" w:fill="f8f8f8"/>
      <w:b/>
      <w:i/>
    </w:rPr>
  </w:style>
  <w:style w:type="character" w:customStyle="1" w:styleId="WarningTok">
    <w:name w:val="WarningTok"/>
    <w:basedOn w:val="VerbatimChar"/>
    <w:rPr>
      <w:color w:val="8f5902"/>
      <w:shd w:val="clear" w:fill="f8f8f8"/>
      <w:b/>
      <w:i/>
    </w:rPr>
  </w:style>
  <w:style w:type="character" w:customStyle="1" w:styleId="AlertTok">
    <w:name w:val="AlertTok"/>
    <w:basedOn w:val="VerbatimChar"/>
    <w:rPr>
      <w:color w:val="ef2929"/>
      <w:shd w:val="clear" w:fill="f8f8f8"/>
    </w:rPr>
  </w:style>
  <w:style w:type="character" w:customStyle="1" w:styleId="ErrorTok">
    <w:name w:val="ErrorTok"/>
    <w:basedOn w:val="VerbatimChar"/>
    <w:rPr>
      <w:color w:val="a40000"/>
      <w:shd w:val="clear" w:fill="f8f8f8"/>
      <w:b/>
    </w:rPr>
  </w:style>
  <w:style w:type="character" w:customStyle="1" w:styleId="NormalTok">
    <w:name w:val="NormalTok"/>
    <w:basedOn w:val="VerbatimChar"/>
    <w:rPr>
      <w:shd w:val="clear" w:fill="f8f8f8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44" Target="media/rId44.png" /><Relationship Type="http://schemas.openxmlformats.org/officeDocument/2006/relationships/image" Id="rId45" Target="media/rId45.png" /><Relationship Type="http://schemas.openxmlformats.org/officeDocument/2006/relationships/image" Id="rId41" Target="media/rId41.png" /><Relationship Type="http://schemas.openxmlformats.org/officeDocument/2006/relationships/image" Id="rId52" Target="media/rId52.png" /><Relationship Type="http://schemas.openxmlformats.org/officeDocument/2006/relationships/image" Id="rId42" Target="media/rId42.png" /><Relationship Type="http://schemas.openxmlformats.org/officeDocument/2006/relationships/image" Id="rId47" Target="media/rId47.png" /><Relationship Type="http://schemas.openxmlformats.org/officeDocument/2006/relationships/image" Id="rId48" Target="media/rId48.png" /><Relationship Type="http://schemas.openxmlformats.org/officeDocument/2006/relationships/image" Id="rId40" Target="media/rId40.png" /><Relationship Type="http://schemas.openxmlformats.org/officeDocument/2006/relationships/image" Id="rId36" Target="media/rId36.png" /><Relationship Type="http://schemas.openxmlformats.org/officeDocument/2006/relationships/image" Id="rId37" Target="media/rId37.png" /><Relationship Type="http://schemas.openxmlformats.org/officeDocument/2006/relationships/image" Id="rId54" Target="media/rId54.png" /></Relationships>
</file>

<file path=word/_rels/footnotes.xml.rels><?xml version="1.0" encoding="UTF-8"?>
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Effects of different storage conditions on the development of microorganisms in ground beef</dc:title>
  <dc:creator>Kris Choi</dc:creator>
  <cp:keywords/>
  <dcterms:created xsi:type="dcterms:W3CDTF">2019-11-19T20:54:32Z</dcterms:created>
  <dcterms:modified xsi:type="dcterms:W3CDTF">2019-11-19T20:54:32Z</dcterms:modified>
</cp:coreProperties>
</file>